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Times New Roman" w:hAnsi="Times New Roman" w:eastAsia="方正小标宋简体" w:cs="Times New Roman"/>
          <w:sz w:val="36"/>
        </w:rPr>
      </w:pPr>
      <w:r>
        <w:rPr>
          <w:rFonts w:hint="eastAsia" w:ascii="Times New Roman" w:hAnsi="Times New Roman" w:eastAsia="方正小标宋简体" w:cs="Times New Roman"/>
          <w:sz w:val="36"/>
        </w:rPr>
        <w:t>畜牧学</w:t>
      </w:r>
      <w:r>
        <w:rPr>
          <w:rFonts w:ascii="Times New Roman" w:hAnsi="Times New Roman" w:eastAsia="方正小标宋简体" w:cs="Times New Roman"/>
          <w:sz w:val="36"/>
        </w:rPr>
        <w:t>学科特区建设方案</w:t>
      </w:r>
    </w:p>
    <w:p>
      <w:pPr>
        <w:adjustRightInd w:val="0"/>
        <w:snapToGrid w:val="0"/>
        <w:spacing w:line="360" w:lineRule="auto"/>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为加快畜牧学学科建设，推进重大标志性成果产出，向世界一流学科目标迈进，根据国家《统筹推进世界一流大学和一流学科建设实施办法（暂行）》（教研[2017]2号）《扬州大学章程》（扬大[2015]7号）《扬州大学关于全面深化综合改革的实施意见》（扬大委[2014]52号）《扬州大学江苏高校优势学科建设工程项目管理办法（试行）》（扬大学科[2016]2号）和《扬州大学学科特区建设实施办法（试行）》（扬大学科[2018]6号）等相关文件精神，结合畜牧学学科实际，编制本方案。</w:t>
      </w:r>
    </w:p>
    <w:p>
      <w:pPr>
        <w:adjustRightInd w:val="0"/>
        <w:snapToGrid w:val="0"/>
        <w:spacing w:line="360" w:lineRule="auto"/>
        <w:ind w:firstLine="560" w:firstLineChars="200"/>
        <w:rPr>
          <w:rFonts w:ascii="Times New Roman" w:hAnsi="Times New Roman" w:eastAsia="黑体" w:cs="Times New Roman"/>
          <w:sz w:val="28"/>
        </w:rPr>
      </w:pPr>
      <w:r>
        <w:rPr>
          <w:rFonts w:ascii="Times New Roman" w:hAnsi="Times New Roman" w:eastAsia="黑体" w:cs="Times New Roman"/>
          <w:sz w:val="28"/>
        </w:rPr>
        <w:t>一、基本设置</w:t>
      </w:r>
    </w:p>
    <w:p>
      <w:pPr>
        <w:adjustRightInd w:val="0"/>
        <w:snapToGrid w:val="0"/>
        <w:spacing w:line="360" w:lineRule="auto"/>
        <w:ind w:firstLine="560" w:firstLineChars="200"/>
        <w:rPr>
          <w:rFonts w:ascii="Times New Roman" w:hAnsi="Times New Roman" w:eastAsia="仿宋_GB2312" w:cs="Times New Roman"/>
          <w:sz w:val="28"/>
        </w:rPr>
      </w:pPr>
      <w:r>
        <w:rPr>
          <w:rFonts w:ascii="Times New Roman" w:hAnsi="Times New Roman" w:eastAsia="仿宋_GB2312" w:cs="Times New Roman"/>
          <w:sz w:val="28"/>
        </w:rPr>
        <w:t>（一）学科范围</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围绕国家、社会与民生的重大需求，聚焦我国畜牧业可持续发展，结合</w:t>
      </w:r>
      <w:r>
        <w:rPr>
          <w:rFonts w:hint="eastAsia" w:ascii="Times New Roman" w:hAnsi="Times New Roman" w:eastAsia="仿宋_GB2312" w:cs="Times New Roman"/>
          <w:sz w:val="28"/>
          <w:szCs w:val="28"/>
        </w:rPr>
        <w:t>我院</w:t>
      </w:r>
      <w:r>
        <w:rPr>
          <w:rFonts w:ascii="Times New Roman" w:hAnsi="Times New Roman" w:eastAsia="仿宋_GB2312" w:cs="Times New Roman"/>
          <w:sz w:val="28"/>
          <w:szCs w:val="28"/>
        </w:rPr>
        <w:t>畜牧学学科研究特色，遵循基础研究和应用开发相结合原则，加强国内领先的畜禽新品种选育、动物营养与代谢调控、奶业全产业链协同创新、特种经济动物饲养等优势学科</w:t>
      </w:r>
      <w:r>
        <w:rPr>
          <w:rFonts w:hint="eastAsia" w:ascii="Times New Roman" w:hAnsi="Times New Roman" w:eastAsia="仿宋_GB2312" w:cs="Times New Roman"/>
          <w:sz w:val="28"/>
          <w:szCs w:val="28"/>
        </w:rPr>
        <w:t>方向</w:t>
      </w:r>
      <w:r>
        <w:rPr>
          <w:rFonts w:ascii="Times New Roman" w:hAnsi="Times New Roman" w:eastAsia="仿宋_GB2312" w:cs="Times New Roman"/>
          <w:sz w:val="28"/>
          <w:szCs w:val="28"/>
        </w:rPr>
        <w:t>建设。围绕以下五个研究</w:t>
      </w:r>
      <w:r>
        <w:rPr>
          <w:rFonts w:hint="eastAsia" w:ascii="Times New Roman" w:hAnsi="Times New Roman" w:eastAsia="仿宋_GB2312" w:cs="Times New Roman"/>
          <w:sz w:val="28"/>
          <w:szCs w:val="28"/>
        </w:rPr>
        <w:t>领域</w:t>
      </w:r>
      <w:r>
        <w:rPr>
          <w:rFonts w:ascii="Times New Roman" w:hAnsi="Times New Roman" w:eastAsia="仿宋_GB2312" w:cs="Times New Roman"/>
          <w:sz w:val="28"/>
          <w:szCs w:val="28"/>
        </w:rPr>
        <w:t>开展</w:t>
      </w:r>
      <w:r>
        <w:rPr>
          <w:rFonts w:hint="eastAsia" w:ascii="Times New Roman" w:hAnsi="Times New Roman" w:eastAsia="仿宋_GB2312" w:cs="Times New Roman"/>
          <w:sz w:val="28"/>
          <w:szCs w:val="28"/>
        </w:rPr>
        <w:t>创新</w:t>
      </w:r>
      <w:r>
        <w:rPr>
          <w:rFonts w:ascii="Times New Roman" w:hAnsi="Times New Roman" w:eastAsia="仿宋_GB2312" w:cs="Times New Roman"/>
          <w:sz w:val="28"/>
          <w:szCs w:val="28"/>
        </w:rPr>
        <w:t xml:space="preserve">研究。 </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1.分子标记与动物育种</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重点围绕畜禽生长发育、品质性状、繁殖性状和免疫性状，开展遗传标记挖掘、全基因组关联分析（GWAS）、非编码RNA分子遗传标记筛选、</w:t>
      </w:r>
      <w:r>
        <w:rPr>
          <w:rFonts w:hint="eastAsia" w:ascii="Times New Roman" w:hAnsi="Times New Roman" w:eastAsia="仿宋_GB2312" w:cs="Times New Roman"/>
          <w:sz w:val="28"/>
          <w:szCs w:val="28"/>
        </w:rPr>
        <w:t>分子机制解析、</w:t>
      </w:r>
      <w:r>
        <w:rPr>
          <w:rFonts w:ascii="Times New Roman" w:hAnsi="Times New Roman" w:eastAsia="仿宋_GB2312" w:cs="Times New Roman"/>
          <w:sz w:val="28"/>
          <w:szCs w:val="28"/>
        </w:rPr>
        <w:t>相关基因的克隆、鉴定与功能研究；将遗传标记作为辅助选择应用于育种实践，提高选育精准度。</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2.畜禽遗传资源的评价与种质创新</w:t>
      </w:r>
    </w:p>
    <w:p>
      <w:pPr>
        <w:adjustRightInd w:val="0"/>
        <w:snapToGrid w:val="0"/>
        <w:spacing w:line="360" w:lineRule="auto"/>
        <w:ind w:firstLine="560" w:firstLineChars="200"/>
        <w:rPr>
          <w:rFonts w:ascii="Times New Roman" w:hAnsi="Times New Roman" w:eastAsia="仿宋_GB2312" w:cs="Times New Roman"/>
          <w:b/>
          <w:sz w:val="28"/>
          <w:szCs w:val="28"/>
        </w:rPr>
      </w:pPr>
      <w:r>
        <w:rPr>
          <w:rFonts w:ascii="Times New Roman" w:hAnsi="Times New Roman" w:eastAsia="仿宋_GB2312" w:cs="Times New Roman"/>
          <w:sz w:val="28"/>
          <w:szCs w:val="28"/>
        </w:rPr>
        <w:t>依据种群分布、现状及特性，通过抽样调查、实验室分析及系统聚类等手段，研究我国主要畜禽遗传资源生态形态特征、遗传多样性及系统地位，阐明其资源学价值及保种利用方向；借助国家</w:t>
      </w:r>
      <w:r>
        <w:rPr>
          <w:rFonts w:hint="eastAsia" w:ascii="Times New Roman" w:hAnsi="Times New Roman" w:eastAsia="仿宋_GB2312" w:cs="Times New Roman"/>
          <w:sz w:val="28"/>
          <w:szCs w:val="28"/>
        </w:rPr>
        <w:t>家</w:t>
      </w:r>
      <w:r>
        <w:rPr>
          <w:rFonts w:ascii="Times New Roman" w:hAnsi="Times New Roman" w:eastAsia="仿宋_GB2312" w:cs="Times New Roman"/>
          <w:sz w:val="28"/>
          <w:szCs w:val="28"/>
        </w:rPr>
        <w:t>禽基因库和国家水禽基因库以及我国地方畜禽保种基地，从细胞、生化以及分子层面开展系统、全面的种质资源、种质特性研究，为培育具特定抗性和经济价值的畜禽品种或品系奠定基础</w:t>
      </w:r>
      <w:r>
        <w:rPr>
          <w:rFonts w:ascii="Times New Roman" w:hAnsi="Times New Roman" w:eastAsia="仿宋_GB2312" w:cs="Times New Roman"/>
          <w:b/>
          <w:sz w:val="28"/>
          <w:szCs w:val="28"/>
        </w:rPr>
        <w:t>。</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3.胚胎工程与转基因动物</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开展畜禽胚胎和精原干细胞的系统研究，研究胚胎干细胞（ESCs）、原始生殖细胞（PGCs）和精原干细胞（SSCs）发育规律和分化机制；建立细胞分离纯化、体外培养、冷冻保存、诱导分化及外源基因转染等的方法；揭示干细胞及胚胎发育过程中关键基因、信号通路和非编码RNA的互作调控网络。</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4.动物营养代谢调控与非常规饲料资源开发</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围绕畜禽健康、营养、优质和资源高效利用目标，研究动物营养代谢机制和健康养殖技术，促进动物的高效生产，提高饲料的利用效率;结合我国奶牛、肉羊产业发展需求，研究开发利用农作物秸秆、菌糠、蚕沙、尾菜等农业生产废弃物，促进畜牧业可持续发展。</w:t>
      </w:r>
    </w:p>
    <w:p>
      <w:pPr>
        <w:adjustRightInd w:val="0"/>
        <w:snapToGrid w:val="0"/>
        <w:spacing w:line="360" w:lineRule="auto"/>
        <w:ind w:firstLine="560" w:firstLineChars="200"/>
        <w:rPr>
          <w:rFonts w:ascii="Times New Roman" w:hAnsi="Times New Roman" w:eastAsia="仿宋_GB2312" w:cs="Times New Roman"/>
          <w:b/>
          <w:sz w:val="28"/>
          <w:szCs w:val="28"/>
        </w:rPr>
      </w:pPr>
      <w:r>
        <w:rPr>
          <w:rFonts w:ascii="Times New Roman" w:hAnsi="Times New Roman" w:eastAsia="仿宋_GB2312" w:cs="Times New Roman"/>
          <w:sz w:val="28"/>
          <w:szCs w:val="28"/>
        </w:rPr>
        <w:t>5.畜产品品质形成机制与安全控制</w:t>
      </w:r>
      <w:r>
        <w:rPr>
          <w:rFonts w:ascii="Times New Roman" w:hAnsi="Times New Roman" w:eastAsia="仿宋_GB2312" w:cs="Times New Roman"/>
          <w:b/>
          <w:sz w:val="28"/>
          <w:szCs w:val="28"/>
        </w:rPr>
        <w:t xml:space="preserve"> </w:t>
      </w:r>
    </w:p>
    <w:p>
      <w:pPr>
        <w:adjustRightInd w:val="0"/>
        <w:snapToGrid w:val="0"/>
        <w:spacing w:line="360" w:lineRule="auto"/>
        <w:ind w:firstLine="560" w:firstLineChars="200"/>
        <w:rPr>
          <w:rFonts w:ascii="Times New Roman" w:hAnsi="Times New Roman" w:eastAsia="仿宋_GB2312" w:cs="Times New Roman"/>
          <w:sz w:val="32"/>
          <w:szCs w:val="32"/>
        </w:rPr>
      </w:pPr>
      <w:r>
        <w:rPr>
          <w:rFonts w:ascii="Times New Roman" w:hAnsi="Times New Roman" w:eastAsia="仿宋_GB2312" w:cs="Times New Roman"/>
          <w:sz w:val="28"/>
          <w:szCs w:val="28"/>
        </w:rPr>
        <w:t>重点研究肉、奶、蛋、皮毛、蜂产品等畜产品品质形成规律及影响因素，开展营养调控和健康养殖技术研究，开发新的检测方法；围绕肉、奶、蛋全产业链突出问题，跨学科协同攻关，创制安全生产和畜产品全产业链溯源控制技术，保障畜产品安全。</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（二）建设规模</w:t>
      </w:r>
    </w:p>
    <w:p>
      <w:pPr>
        <w:adjustRightInd w:val="0"/>
        <w:snapToGrid w:val="0"/>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1</w:t>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学科特区设立若干个学术团队，接纳若干名学术成员。学科特区人员规模由学院申报，学校核定。</w:t>
      </w:r>
    </w:p>
    <w:p>
      <w:pPr>
        <w:pStyle w:val="14"/>
        <w:adjustRightInd w:val="0"/>
        <w:snapToGrid w:val="0"/>
        <w:spacing w:line="360" w:lineRule="auto"/>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2.每个</w:t>
      </w:r>
      <w:r>
        <w:rPr>
          <w:rFonts w:hint="eastAsia" w:ascii="Times New Roman" w:hAnsi="Times New Roman" w:eastAsia="仿宋_GB2312" w:cs="Times New Roman"/>
          <w:sz w:val="28"/>
          <w:szCs w:val="28"/>
        </w:rPr>
        <w:t>学术</w:t>
      </w:r>
      <w:r>
        <w:rPr>
          <w:rFonts w:ascii="Times New Roman" w:hAnsi="Times New Roman" w:eastAsia="仿宋_GB2312" w:cs="Times New Roman"/>
          <w:sz w:val="28"/>
          <w:szCs w:val="28"/>
        </w:rPr>
        <w:t>团队以课题组长（PI）为核心，原则上由3～5名教师、数名博士后、学术型博（硕）士研究生等组成。</w:t>
      </w:r>
    </w:p>
    <w:p>
      <w:pPr>
        <w:adjustRightInd w:val="0"/>
        <w:snapToGrid w:val="0"/>
        <w:spacing w:line="360" w:lineRule="auto"/>
        <w:ind w:firstLine="560" w:firstLineChars="200"/>
        <w:rPr>
          <w:rFonts w:ascii="Times New Roman" w:hAnsi="Times New Roman" w:eastAsia="黑体" w:cs="Times New Roman"/>
          <w:sz w:val="28"/>
        </w:rPr>
      </w:pPr>
      <w:r>
        <w:rPr>
          <w:rFonts w:ascii="Times New Roman" w:hAnsi="Times New Roman" w:eastAsia="黑体" w:cs="Times New Roman"/>
          <w:sz w:val="28"/>
        </w:rPr>
        <w:t>二、准入条件</w:t>
      </w:r>
    </w:p>
    <w:p>
      <w:pPr>
        <w:adjustRightInd w:val="0"/>
        <w:snapToGrid w:val="0"/>
        <w:spacing w:line="360" w:lineRule="auto"/>
        <w:ind w:firstLine="560" w:firstLineChars="200"/>
        <w:rPr>
          <w:rFonts w:ascii="Times New Roman" w:hAnsi="Times New Roman" w:eastAsia="仿宋_GB2312" w:cs="Times New Roman"/>
          <w:color w:val="000000" w:themeColor="text1"/>
          <w:sz w:val="28"/>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（一）</w:t>
      </w:r>
      <w:r>
        <w:rPr>
          <w:rFonts w:hint="eastAsia" w:ascii="Times New Roman" w:hAnsi="Times New Roman" w:eastAsia="仿宋_GB2312" w:cs="Times New Roman"/>
          <w:sz w:val="28"/>
          <w:szCs w:val="28"/>
        </w:rPr>
        <w:t>拥护党和国家的教育方针，具有较高的思想觉悟和过硬的政治素质。</w:t>
      </w:r>
      <w:r>
        <w:rPr>
          <w:rFonts w:ascii="Times New Roman" w:hAnsi="Times New Roman" w:eastAsia="仿宋_GB2312" w:cs="Times New Roman"/>
          <w:sz w:val="28"/>
          <w:szCs w:val="28"/>
        </w:rPr>
        <w:t>恪守师德和学术规范，爱岗敬业。具有强烈的事业心，较强的科研能力，以及良好的身体素质、团队精神和协调能力。</w:t>
      </w:r>
    </w:p>
    <w:p>
      <w:pPr>
        <w:adjustRightInd w:val="0"/>
        <w:snapToGrid w:val="0"/>
        <w:spacing w:line="360" w:lineRule="auto"/>
        <w:ind w:firstLine="560" w:firstLineChars="200"/>
        <w:rPr>
          <w:rFonts w:ascii="Times New Roman" w:hAnsi="Times New Roman" w:eastAsia="仿宋_GB2312" w:cs="Times New Roman"/>
          <w:color w:val="000000" w:themeColor="text1"/>
          <w:sz w:val="28"/>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（二）</w:t>
      </w:r>
      <w:r>
        <w:rPr>
          <w:rFonts w:ascii="Times New Roman" w:hAnsi="Times New Roman" w:eastAsia="仿宋_GB2312" w:cs="Times New Roman"/>
          <w:sz w:val="28"/>
          <w:szCs w:val="28"/>
        </w:rPr>
        <w:t>扬州大学在编教职工，近三年所从事的主要科学研究与学科特区设定的学科范围五大研究方向相符。</w:t>
      </w:r>
    </w:p>
    <w:p>
      <w:pPr>
        <w:adjustRightInd w:val="0"/>
        <w:snapToGrid w:val="0"/>
        <w:spacing w:line="360" w:lineRule="auto"/>
        <w:ind w:firstLine="560" w:firstLineChars="200"/>
        <w:rPr>
          <w:rFonts w:ascii="Times New Roman" w:hAnsi="Times New Roman" w:eastAsia="仿宋_GB2312" w:cs="Times New Roman"/>
          <w:color w:val="000000" w:themeColor="text1"/>
          <w:sz w:val="28"/>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（三）课题组长（PI）及学术成员的准入条件</w:t>
      </w:r>
    </w:p>
    <w:p>
      <w:pPr>
        <w:adjustRightInd w:val="0"/>
        <w:snapToGrid w:val="0"/>
        <w:spacing w:line="360" w:lineRule="auto"/>
        <w:ind w:firstLine="560" w:firstLineChars="200"/>
        <w:rPr>
          <w:rFonts w:ascii="Times New Roman" w:hAnsi="Times New Roman" w:eastAsia="仿宋_GB2312" w:cs="Times New Roman"/>
          <w:color w:val="000000" w:themeColor="text1"/>
          <w:sz w:val="28"/>
          <w:szCs w:val="28"/>
          <w14:textFill>
            <w14:solidFill>
              <w14:schemeClr w14:val="tx1"/>
            </w14:solidFill>
          </w14:textFill>
        </w:rPr>
      </w:pPr>
      <w:r>
        <w:rPr>
          <w:rFonts w:ascii="Times New Roman" w:hAnsi="Times New Roman" w:eastAsia="仿宋_GB2312" w:cs="Times New Roman"/>
          <w:color w:val="000000" w:themeColor="text1"/>
          <w:sz w:val="28"/>
          <w:szCs w:val="28"/>
          <w14:textFill>
            <w14:solidFill>
              <w14:schemeClr w14:val="tx1"/>
            </w14:solidFill>
          </w14:textFill>
        </w:rPr>
        <w:t>1.课题组长（PI）</w:t>
      </w:r>
    </w:p>
    <w:p>
      <w:pPr>
        <w:adjustRightInd w:val="0"/>
        <w:snapToGrid w:val="0"/>
        <w:spacing w:line="360" w:lineRule="auto"/>
        <w:ind w:firstLine="560" w:firstLineChars="200"/>
        <w:rPr>
          <w:rFonts w:ascii="Times New Roman" w:hAnsi="Times New Roman" w:eastAsia="仿宋_GB2312" w:cs="Times New Roman"/>
          <w:color w:val="000000" w:themeColor="text1"/>
          <w:sz w:val="28"/>
          <w:szCs w:val="28"/>
          <w14:textFill>
            <w14:solidFill>
              <w14:schemeClr w14:val="tx1"/>
            </w14:solidFill>
          </w14:textFill>
        </w:rPr>
      </w:pPr>
      <w:r>
        <w:rPr>
          <w:rFonts w:hint="eastAsia" w:ascii="Times New Roman" w:hAnsi="Times New Roman" w:eastAsia="仿宋_GB2312" w:cs="Times New Roman"/>
          <w:color w:val="000000" w:themeColor="text1"/>
          <w:sz w:val="28"/>
          <w:szCs w:val="28"/>
          <w14:textFill>
            <w14:solidFill>
              <w14:schemeClr w14:val="tx1"/>
            </w14:solidFill>
          </w14:textFill>
        </w:rPr>
        <w:t>符合下列条件之一：</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中国科学院、中国工程院院士；</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国务院学科评议组成员；</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教育部高等学校动物科学类教学指导委员会、全国畜牧领域专业学位指导委员会成员；</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国家自然科学基金学科评审组专家；</w:t>
      </w:r>
    </w:p>
    <w:p>
      <w:pPr>
        <w:adjustRightInd w:val="0"/>
        <w:snapToGrid w:val="0"/>
        <w:spacing w:line="360" w:lineRule="auto"/>
        <w:ind w:firstLine="560" w:firstLineChars="200"/>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国家级有突出贡献中青年专家；</w:t>
      </w:r>
    </w:p>
    <w:p>
      <w:pPr>
        <w:adjustRightInd w:val="0"/>
        <w:snapToGrid w:val="0"/>
        <w:spacing w:line="360" w:lineRule="auto"/>
        <w:ind w:firstLine="560" w:firstLineChars="200"/>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国家杰出青年科学基金获得者、教育部</w:t>
      </w:r>
      <w:r>
        <w:rPr>
          <w:rFonts w:hint="eastAsia" w:ascii="Times New Roman" w:hAnsi="Times New Roman" w:eastAsia="仿宋_GB2312" w:cs="Times New Roman"/>
          <w:color w:val="000000"/>
          <w:sz w:val="28"/>
          <w:szCs w:val="28"/>
        </w:rPr>
        <w:t>“</w:t>
      </w:r>
      <w:r>
        <w:rPr>
          <w:rFonts w:ascii="Times New Roman" w:hAnsi="Times New Roman" w:eastAsia="仿宋_GB2312" w:cs="Times New Roman"/>
          <w:color w:val="000000"/>
          <w:sz w:val="28"/>
          <w:szCs w:val="28"/>
        </w:rPr>
        <w:t>长江学者</w:t>
      </w:r>
      <w:r>
        <w:rPr>
          <w:rFonts w:hint="eastAsia" w:ascii="Times New Roman" w:hAnsi="Times New Roman" w:eastAsia="仿宋_GB2312" w:cs="Times New Roman"/>
          <w:color w:val="000000"/>
          <w:sz w:val="28"/>
          <w:szCs w:val="28"/>
        </w:rPr>
        <w:t>”</w:t>
      </w:r>
      <w:r>
        <w:rPr>
          <w:rFonts w:ascii="Times New Roman" w:hAnsi="Times New Roman" w:eastAsia="仿宋_GB2312" w:cs="Times New Roman"/>
          <w:color w:val="000000"/>
          <w:sz w:val="28"/>
          <w:szCs w:val="28"/>
        </w:rPr>
        <w:t>特聘教授、国家“千人计划”项目获得者、国家“万人计划”获得者；</w:t>
      </w:r>
    </w:p>
    <w:p>
      <w:pPr>
        <w:adjustRightInd w:val="0"/>
        <w:snapToGrid w:val="0"/>
        <w:spacing w:line="360" w:lineRule="auto"/>
        <w:ind w:firstLine="560" w:firstLineChars="200"/>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国家优青获得者、教育部</w:t>
      </w:r>
      <w:r>
        <w:rPr>
          <w:rFonts w:hint="eastAsia" w:ascii="Times New Roman" w:hAnsi="Times New Roman" w:eastAsia="仿宋_GB2312" w:cs="Times New Roman"/>
          <w:color w:val="000000"/>
          <w:sz w:val="28"/>
          <w:szCs w:val="28"/>
        </w:rPr>
        <w:t>“</w:t>
      </w:r>
      <w:r>
        <w:rPr>
          <w:rFonts w:ascii="Times New Roman" w:hAnsi="Times New Roman" w:eastAsia="仿宋_GB2312" w:cs="Times New Roman"/>
          <w:color w:val="000000"/>
          <w:sz w:val="28"/>
          <w:szCs w:val="28"/>
        </w:rPr>
        <w:t>长江学者</w:t>
      </w:r>
      <w:r>
        <w:rPr>
          <w:rFonts w:hint="eastAsia" w:ascii="Times New Roman" w:hAnsi="Times New Roman" w:eastAsia="仿宋_GB2312" w:cs="Times New Roman"/>
          <w:color w:val="000000"/>
          <w:sz w:val="28"/>
          <w:szCs w:val="28"/>
        </w:rPr>
        <w:t>”</w:t>
      </w:r>
      <w:r>
        <w:rPr>
          <w:rFonts w:ascii="Times New Roman" w:hAnsi="Times New Roman" w:eastAsia="仿宋_GB2312" w:cs="Times New Roman"/>
          <w:color w:val="000000"/>
          <w:sz w:val="28"/>
          <w:szCs w:val="28"/>
        </w:rPr>
        <w:t>青年项目获得者、青年千人、国家</w:t>
      </w:r>
      <w:r>
        <w:rPr>
          <w:rFonts w:hint="eastAsia" w:ascii="Times New Roman" w:hAnsi="Times New Roman" w:eastAsia="仿宋_GB2312" w:cs="Times New Roman"/>
          <w:color w:val="000000"/>
          <w:sz w:val="28"/>
          <w:szCs w:val="28"/>
        </w:rPr>
        <w:t>“</w:t>
      </w:r>
      <w:r>
        <w:rPr>
          <w:rFonts w:ascii="Times New Roman" w:hAnsi="Times New Roman" w:eastAsia="仿宋_GB2312" w:cs="Times New Roman"/>
          <w:color w:val="000000"/>
          <w:sz w:val="28"/>
          <w:szCs w:val="28"/>
        </w:rPr>
        <w:t>万人计划</w:t>
      </w:r>
      <w:r>
        <w:rPr>
          <w:rFonts w:hint="eastAsia" w:ascii="Times New Roman" w:hAnsi="Times New Roman" w:eastAsia="仿宋_GB2312" w:cs="Times New Roman"/>
          <w:color w:val="000000"/>
          <w:sz w:val="28"/>
          <w:szCs w:val="28"/>
        </w:rPr>
        <w:t>”</w:t>
      </w:r>
      <w:r>
        <w:rPr>
          <w:rFonts w:ascii="Times New Roman" w:hAnsi="Times New Roman" w:eastAsia="仿宋_GB2312" w:cs="Times New Roman"/>
          <w:color w:val="000000"/>
          <w:sz w:val="28"/>
          <w:szCs w:val="28"/>
        </w:rPr>
        <w:t>青年拔尖人才、江苏省杰青获得者；</w:t>
      </w:r>
    </w:p>
    <w:p>
      <w:pPr>
        <w:adjustRightInd w:val="0"/>
        <w:snapToGrid w:val="0"/>
        <w:spacing w:line="360" w:lineRule="auto"/>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 xml:space="preserve">   </w:t>
      </w:r>
      <w:r>
        <w:rPr>
          <w:rFonts w:hint="eastAsia" w:ascii="Times New Roman" w:hAnsi="Times New Roman" w:eastAsia="仿宋_GB2312" w:cs="Times New Roman"/>
          <w:color w:val="000000"/>
          <w:sz w:val="28"/>
          <w:szCs w:val="28"/>
        </w:rPr>
        <w:t>“</w:t>
      </w:r>
      <w:r>
        <w:rPr>
          <w:rFonts w:ascii="Times New Roman" w:hAnsi="Times New Roman" w:eastAsia="仿宋_GB2312" w:cs="Times New Roman"/>
          <w:color w:val="000000"/>
          <w:sz w:val="28"/>
          <w:szCs w:val="28"/>
        </w:rPr>
        <w:t>百千万人才工程</w:t>
      </w:r>
      <w:r>
        <w:rPr>
          <w:rFonts w:hint="eastAsia" w:ascii="Times New Roman" w:hAnsi="Times New Roman" w:eastAsia="仿宋_GB2312" w:cs="Times New Roman"/>
          <w:color w:val="000000"/>
          <w:sz w:val="28"/>
          <w:szCs w:val="28"/>
        </w:rPr>
        <w:t>”</w:t>
      </w:r>
      <w:r>
        <w:rPr>
          <w:rFonts w:ascii="Times New Roman" w:hAnsi="Times New Roman" w:eastAsia="仿宋_GB2312" w:cs="Times New Roman"/>
          <w:color w:val="000000"/>
          <w:sz w:val="28"/>
          <w:szCs w:val="28"/>
        </w:rPr>
        <w:t>国家级人选；</w:t>
      </w:r>
    </w:p>
    <w:p>
      <w:pPr>
        <w:adjustRightInd w:val="0"/>
        <w:snapToGrid w:val="0"/>
        <w:spacing w:line="360" w:lineRule="auto"/>
        <w:ind w:firstLine="560" w:firstLineChars="200"/>
        <w:rPr>
          <w:rFonts w:ascii="Times New Roman" w:hAnsi="Times New Roman" w:eastAsia="仿宋_GB2312" w:cs="Times New Roman"/>
          <w:color w:val="000000"/>
          <w:kern w:val="0"/>
          <w:sz w:val="28"/>
          <w:szCs w:val="28"/>
        </w:rPr>
      </w:pPr>
      <w:r>
        <w:rPr>
          <w:rFonts w:ascii="Times New Roman" w:hAnsi="Times New Roman" w:eastAsia="仿宋_GB2312" w:cs="Times New Roman"/>
          <w:color w:val="000000"/>
          <w:sz w:val="28"/>
          <w:szCs w:val="28"/>
        </w:rPr>
        <w:t>省</w:t>
      </w:r>
      <w:r>
        <w:rPr>
          <w:rFonts w:hint="eastAsia" w:ascii="Times New Roman" w:hAnsi="Times New Roman" w:eastAsia="仿宋_GB2312" w:cs="Times New Roman"/>
          <w:color w:val="000000"/>
          <w:sz w:val="28"/>
          <w:szCs w:val="28"/>
        </w:rPr>
        <w:t>“</w:t>
      </w:r>
      <w:r>
        <w:rPr>
          <w:rFonts w:ascii="Times New Roman" w:hAnsi="Times New Roman" w:eastAsia="仿宋_GB2312" w:cs="Times New Roman"/>
          <w:color w:val="000000"/>
          <w:sz w:val="28"/>
          <w:szCs w:val="28"/>
        </w:rPr>
        <w:t>333高层次人才工程</w:t>
      </w:r>
      <w:r>
        <w:rPr>
          <w:rFonts w:hint="eastAsia" w:ascii="Times New Roman" w:hAnsi="Times New Roman" w:eastAsia="仿宋_GB2312" w:cs="Times New Roman"/>
          <w:color w:val="000000"/>
          <w:sz w:val="28"/>
          <w:szCs w:val="28"/>
        </w:rPr>
        <w:t>”</w:t>
      </w:r>
      <w:r>
        <w:rPr>
          <w:rFonts w:ascii="Times New Roman" w:hAnsi="Times New Roman" w:eastAsia="仿宋_GB2312" w:cs="Times New Roman"/>
          <w:color w:val="000000"/>
          <w:kern w:val="0"/>
          <w:sz w:val="28"/>
          <w:szCs w:val="28"/>
        </w:rPr>
        <w:t>人选者；</w:t>
      </w:r>
    </w:p>
    <w:p>
      <w:pPr>
        <w:adjustRightInd w:val="0"/>
        <w:snapToGrid w:val="0"/>
        <w:spacing w:line="360" w:lineRule="auto"/>
        <w:ind w:firstLine="560" w:firstLineChars="200"/>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国家级创新团队带头人；</w:t>
      </w:r>
    </w:p>
    <w:p>
      <w:pPr>
        <w:adjustRightInd w:val="0"/>
        <w:snapToGrid w:val="0"/>
        <w:spacing w:line="360" w:lineRule="auto"/>
        <w:ind w:firstLine="560" w:firstLineChars="200"/>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在海外获得副教授及以上的引进人才；</w:t>
      </w:r>
    </w:p>
    <w:p>
      <w:pPr>
        <w:adjustRightInd w:val="0"/>
        <w:snapToGrid w:val="0"/>
        <w:spacing w:line="360" w:lineRule="auto"/>
        <w:ind w:firstLine="560" w:firstLineChars="200"/>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国家级、省级教学名师；</w:t>
      </w:r>
    </w:p>
    <w:p>
      <w:pPr>
        <w:adjustRightInd w:val="0"/>
        <w:snapToGrid w:val="0"/>
        <w:spacing w:line="360" w:lineRule="auto"/>
        <w:ind w:firstLine="560" w:firstLineChars="200"/>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省级以上教学团队带头人；</w:t>
      </w:r>
    </w:p>
    <w:p>
      <w:pPr>
        <w:adjustRightInd w:val="0"/>
        <w:snapToGrid w:val="0"/>
        <w:spacing w:line="360" w:lineRule="auto"/>
        <w:ind w:firstLine="560" w:firstLineChars="200"/>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国家科技奖获得者，其中一等奖（前3名）、二等奖（前2名）；</w:t>
      </w:r>
    </w:p>
    <w:p>
      <w:pPr>
        <w:adjustRightInd w:val="0"/>
        <w:snapToGrid w:val="0"/>
        <w:spacing w:line="360" w:lineRule="auto"/>
        <w:ind w:firstLine="560" w:firstLineChars="200"/>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省部级科技奖一等奖获得者（排名前2），二等奖以上获得者（排名第1）；</w:t>
      </w:r>
    </w:p>
    <w:p>
      <w:pPr>
        <w:adjustRightInd w:val="0"/>
        <w:snapToGrid w:val="0"/>
        <w:spacing w:line="360" w:lineRule="auto"/>
        <w:ind w:firstLine="560" w:firstLineChars="200"/>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国家级教学成果奖二等以上奖励获得者，其中特等奖（前3名）、一等奖（前2名）、二等奖（排名第1）；</w:t>
      </w:r>
    </w:p>
    <w:p>
      <w:pPr>
        <w:adjustRightInd w:val="0"/>
        <w:snapToGrid w:val="0"/>
        <w:spacing w:line="360" w:lineRule="auto"/>
        <w:ind w:firstLine="560" w:firstLineChars="200"/>
        <w:rPr>
          <w:rFonts w:ascii="Times New Roman" w:hAnsi="Times New Roman" w:eastAsia="仿宋_GB2312" w:cs="Times New Roman"/>
          <w:color w:val="000000"/>
          <w:sz w:val="28"/>
          <w:szCs w:val="28"/>
        </w:rPr>
      </w:pPr>
      <w:r>
        <w:rPr>
          <w:rFonts w:hint="eastAsia" w:ascii="Times New Roman" w:hAnsi="Times New Roman" w:eastAsia="仿宋_GB2312" w:cs="Times New Roman"/>
          <w:color w:val="000000"/>
          <w:sz w:val="28"/>
          <w:szCs w:val="28"/>
        </w:rPr>
        <w:t>“</w:t>
      </w:r>
      <w:r>
        <w:rPr>
          <w:rFonts w:ascii="Times New Roman" w:hAnsi="Times New Roman" w:eastAsia="仿宋_GB2312" w:cs="Times New Roman"/>
          <w:color w:val="000000"/>
          <w:sz w:val="28"/>
          <w:szCs w:val="28"/>
        </w:rPr>
        <w:t>973</w:t>
      </w:r>
      <w:r>
        <w:rPr>
          <w:rFonts w:hint="eastAsia" w:ascii="Times New Roman" w:hAnsi="Times New Roman" w:eastAsia="仿宋_GB2312" w:cs="Times New Roman"/>
          <w:color w:val="000000"/>
          <w:sz w:val="28"/>
          <w:szCs w:val="28"/>
        </w:rPr>
        <w:t>”</w:t>
      </w:r>
      <w:r>
        <w:rPr>
          <w:rFonts w:ascii="Times New Roman" w:hAnsi="Times New Roman" w:eastAsia="仿宋_GB2312" w:cs="Times New Roman"/>
          <w:color w:val="000000"/>
          <w:sz w:val="28"/>
          <w:szCs w:val="28"/>
        </w:rPr>
        <w:t>计划首席科学家</w:t>
      </w:r>
      <w:r>
        <w:rPr>
          <w:rFonts w:hint="eastAsia" w:ascii="Times New Roman" w:hAnsi="Times New Roman" w:eastAsia="仿宋_GB2312" w:cs="Times New Roman"/>
          <w:color w:val="000000"/>
          <w:sz w:val="28"/>
          <w:szCs w:val="28"/>
        </w:rPr>
        <w:t>，“</w:t>
      </w:r>
      <w:r>
        <w:rPr>
          <w:rFonts w:ascii="Times New Roman" w:hAnsi="Times New Roman" w:eastAsia="仿宋_GB2312" w:cs="Times New Roman"/>
          <w:color w:val="000000"/>
          <w:sz w:val="28"/>
          <w:szCs w:val="28"/>
        </w:rPr>
        <w:t>863</w:t>
      </w:r>
      <w:r>
        <w:rPr>
          <w:rFonts w:hint="eastAsia" w:ascii="Times New Roman" w:hAnsi="Times New Roman" w:eastAsia="仿宋_GB2312" w:cs="Times New Roman"/>
          <w:color w:val="000000"/>
          <w:sz w:val="28"/>
          <w:szCs w:val="28"/>
        </w:rPr>
        <w:t>”</w:t>
      </w:r>
      <w:r>
        <w:rPr>
          <w:rFonts w:ascii="Times New Roman" w:hAnsi="Times New Roman" w:eastAsia="仿宋_GB2312" w:cs="Times New Roman"/>
          <w:color w:val="000000"/>
          <w:sz w:val="28"/>
          <w:szCs w:val="28"/>
        </w:rPr>
        <w:t>计划首席科学家；国家科技支撑计划重点项目首席专家；国家重点研发计划首席专家；</w:t>
      </w:r>
    </w:p>
    <w:p>
      <w:pPr>
        <w:adjustRightInd w:val="0"/>
        <w:snapToGrid w:val="0"/>
        <w:spacing w:line="360" w:lineRule="auto"/>
        <w:ind w:firstLine="560" w:firstLineChars="200"/>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国家自然科学基金重大、重点项目主持人，3项以上国家自然科学基金面上项目主持人；</w:t>
      </w:r>
    </w:p>
    <w:p>
      <w:pPr>
        <w:adjustRightInd w:val="0"/>
        <w:snapToGrid w:val="0"/>
        <w:spacing w:line="360" w:lineRule="auto"/>
        <w:ind w:firstLine="560" w:firstLineChars="200"/>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国家现代农业产业技术体系岗位专家，江苏省现代农业产业技术体系首席专家；</w:t>
      </w:r>
    </w:p>
    <w:p>
      <w:pPr>
        <w:widowControl/>
        <w:adjustRightInd w:val="0"/>
        <w:snapToGrid w:val="0"/>
        <w:spacing w:line="360" w:lineRule="auto"/>
        <w:ind w:firstLine="560" w:firstLineChars="200"/>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在《Science》《Nature》《Cell》《PNAS》等国际顶级期刊发表学术研究论文的第一作者或通讯作者；爱思唯尔高被引学者；ESI高被引科学家；</w:t>
      </w:r>
    </w:p>
    <w:p>
      <w:pPr>
        <w:adjustRightInd w:val="0"/>
        <w:snapToGrid w:val="0"/>
        <w:spacing w:line="360" w:lineRule="auto"/>
        <w:ind w:firstLine="560" w:firstLineChars="200"/>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江苏省优秀博士学位论文指导教师；</w:t>
      </w:r>
    </w:p>
    <w:p>
      <w:pPr>
        <w:adjustRightInd w:val="0"/>
        <w:snapToGrid w:val="0"/>
        <w:spacing w:line="360" w:lineRule="auto"/>
        <w:ind w:firstLine="560" w:firstLineChars="200"/>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扬州大学</w:t>
      </w:r>
      <w:r>
        <w:rPr>
          <w:rFonts w:hint="eastAsia" w:ascii="Times New Roman" w:hAnsi="Times New Roman" w:eastAsia="仿宋_GB2312" w:cs="Times New Roman"/>
          <w:color w:val="000000"/>
          <w:sz w:val="28"/>
          <w:szCs w:val="28"/>
        </w:rPr>
        <w:t>“</w:t>
      </w:r>
      <w:r>
        <w:rPr>
          <w:rFonts w:ascii="Times New Roman" w:hAnsi="Times New Roman" w:eastAsia="仿宋_GB2312" w:cs="Times New Roman"/>
          <w:color w:val="000000"/>
          <w:sz w:val="28"/>
          <w:szCs w:val="28"/>
        </w:rPr>
        <w:t>杰出人才支撑计划</w:t>
      </w:r>
      <w:r>
        <w:rPr>
          <w:rFonts w:hint="eastAsia" w:ascii="Times New Roman" w:hAnsi="Times New Roman" w:eastAsia="仿宋_GB2312" w:cs="Times New Roman"/>
          <w:color w:val="000000"/>
          <w:sz w:val="28"/>
          <w:szCs w:val="28"/>
        </w:rPr>
        <w:t>”</w:t>
      </w:r>
      <w:r>
        <w:rPr>
          <w:rFonts w:ascii="Times New Roman" w:hAnsi="Times New Roman" w:eastAsia="仿宋_GB2312" w:cs="Times New Roman"/>
          <w:color w:val="000000"/>
          <w:sz w:val="28"/>
          <w:szCs w:val="28"/>
        </w:rPr>
        <w:t>入选者；扬州大学</w:t>
      </w:r>
      <w:r>
        <w:rPr>
          <w:rFonts w:hint="eastAsia" w:ascii="Times New Roman" w:hAnsi="Times New Roman" w:eastAsia="仿宋_GB2312" w:cs="Times New Roman"/>
          <w:color w:val="000000"/>
          <w:sz w:val="28"/>
          <w:szCs w:val="28"/>
        </w:rPr>
        <w:t>“</w:t>
      </w:r>
      <w:r>
        <w:rPr>
          <w:rFonts w:ascii="Times New Roman" w:hAnsi="Times New Roman" w:eastAsia="仿宋_GB2312" w:cs="Times New Roman"/>
          <w:color w:val="000000"/>
          <w:sz w:val="28"/>
          <w:szCs w:val="28"/>
        </w:rPr>
        <w:t>领军人才培养计划</w:t>
      </w:r>
      <w:r>
        <w:rPr>
          <w:rFonts w:hint="eastAsia" w:ascii="Times New Roman" w:hAnsi="Times New Roman" w:eastAsia="仿宋_GB2312" w:cs="Times New Roman"/>
          <w:color w:val="000000"/>
          <w:sz w:val="28"/>
          <w:szCs w:val="28"/>
        </w:rPr>
        <w:t>”</w:t>
      </w:r>
      <w:r>
        <w:rPr>
          <w:rFonts w:ascii="Times New Roman" w:hAnsi="Times New Roman" w:eastAsia="仿宋_GB2312" w:cs="Times New Roman"/>
          <w:color w:val="000000"/>
          <w:sz w:val="28"/>
          <w:szCs w:val="28"/>
        </w:rPr>
        <w:t>入选者</w:t>
      </w:r>
      <w:r>
        <w:rPr>
          <w:rFonts w:hint="eastAsia" w:ascii="Times New Roman" w:hAnsi="Times New Roman" w:eastAsia="仿宋_GB2312" w:cs="Times New Roman"/>
          <w:color w:val="000000"/>
          <w:sz w:val="28"/>
          <w:szCs w:val="28"/>
        </w:rPr>
        <w:t>；扬州大学拔尖人才计划入选者；江苏省特聘教授</w:t>
      </w:r>
      <w:r>
        <w:rPr>
          <w:rFonts w:ascii="Times New Roman" w:hAnsi="Times New Roman" w:eastAsia="仿宋_GB2312" w:cs="Times New Roman"/>
          <w:color w:val="000000"/>
          <w:sz w:val="28"/>
          <w:szCs w:val="28"/>
        </w:rPr>
        <w:t>。</w:t>
      </w:r>
    </w:p>
    <w:p>
      <w:pPr>
        <w:adjustRightInd w:val="0"/>
        <w:snapToGrid w:val="0"/>
        <w:spacing w:line="360" w:lineRule="auto"/>
        <w:ind w:firstLine="560" w:firstLineChars="200"/>
        <w:rPr>
          <w:rFonts w:ascii="Times New Roman" w:hAnsi="Times New Roman" w:eastAsia="仿宋_GB2312" w:cs="Times New Roman"/>
          <w:color w:val="000000"/>
          <w:kern w:val="0"/>
          <w:sz w:val="28"/>
          <w:szCs w:val="28"/>
        </w:rPr>
      </w:pPr>
      <w:r>
        <w:rPr>
          <w:rFonts w:ascii="Times New Roman" w:hAnsi="Times New Roman" w:eastAsia="仿宋_GB2312" w:cs="Times New Roman"/>
          <w:color w:val="000000"/>
          <w:sz w:val="28"/>
          <w:szCs w:val="28"/>
        </w:rPr>
        <w:t>学术团队成员的选聘由各学术团队组织实施，学术团队成员的准入条件由</w:t>
      </w:r>
      <w:r>
        <w:rPr>
          <w:rFonts w:ascii="Times New Roman" w:hAnsi="Times New Roman" w:eastAsia="仿宋_GB2312" w:cs="Times New Roman"/>
          <w:sz w:val="28"/>
          <w:szCs w:val="28"/>
        </w:rPr>
        <w:t>课题组长（PI）</w:t>
      </w:r>
      <w:r>
        <w:rPr>
          <w:rFonts w:ascii="Times New Roman" w:hAnsi="Times New Roman" w:eastAsia="仿宋_GB2312" w:cs="Times New Roman"/>
          <w:color w:val="000000"/>
          <w:sz w:val="28"/>
          <w:szCs w:val="28"/>
        </w:rPr>
        <w:t>制定，报学科特区审批备案。</w:t>
      </w:r>
    </w:p>
    <w:p>
      <w:pPr>
        <w:adjustRightInd w:val="0"/>
        <w:snapToGrid w:val="0"/>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w:t>
      </w:r>
      <w:r>
        <w:rPr>
          <w:rFonts w:ascii="Times New Roman" w:hAnsi="Times New Roman" w:eastAsia="仿宋_GB2312" w:cs="Times New Roman"/>
          <w:sz w:val="28"/>
          <w:szCs w:val="28"/>
        </w:rPr>
        <w:t>学术成员</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近三年内，以第一完成人或通讯作者发表过影响因子2.0以上的SCI收录论文4篇，且有影响因子大于5.0的单篇论文或一区论文（中科院分区）；或者发表影响因子8.0以上的SCI收录论文1篇。目前在研主持国家级科研项目，科研经费充足。</w:t>
      </w:r>
    </w:p>
    <w:p>
      <w:pPr>
        <w:adjustRightInd w:val="0"/>
        <w:snapToGrid w:val="0"/>
        <w:spacing w:line="36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3.畜牧学学科特区对所有畜牧学科老师开放，鼓励目前暂达不到以上团队或学术成员条件的老师，积极申报，并主动对照下文“四、建设任务”各项指标，规划未来四年拟完成的目标任务。</w:t>
      </w:r>
    </w:p>
    <w:p>
      <w:pPr>
        <w:adjustRightInd w:val="0"/>
        <w:snapToGrid w:val="0"/>
        <w:spacing w:line="360" w:lineRule="auto"/>
        <w:ind w:firstLine="560" w:firstLineChars="200"/>
        <w:rPr>
          <w:rFonts w:ascii="Times New Roman" w:hAnsi="Times New Roman" w:eastAsia="黑体" w:cs="Times New Roman"/>
          <w:sz w:val="28"/>
        </w:rPr>
      </w:pPr>
      <w:r>
        <w:rPr>
          <w:rFonts w:ascii="Times New Roman" w:hAnsi="Times New Roman" w:eastAsia="黑体" w:cs="Times New Roman"/>
          <w:sz w:val="28"/>
        </w:rPr>
        <w:t>三、建设目标</w:t>
      </w:r>
    </w:p>
    <w:p>
      <w:pPr>
        <w:adjustRightInd w:val="0"/>
        <w:snapToGrid w:val="0"/>
        <w:spacing w:line="360" w:lineRule="auto"/>
        <w:ind w:firstLine="562" w:firstLineChars="200"/>
        <w:rPr>
          <w:rFonts w:ascii="Times New Roman" w:hAnsi="Times New Roman" w:eastAsia="仿宋_GB2312" w:cs="Times New Roman"/>
          <w:color w:val="000000"/>
          <w:sz w:val="28"/>
          <w:szCs w:val="28"/>
        </w:rPr>
      </w:pPr>
      <w:r>
        <w:rPr>
          <w:rFonts w:ascii="Times New Roman" w:hAnsi="Times New Roman" w:eastAsia="仿宋_GB2312" w:cs="Times New Roman"/>
          <w:b/>
          <w:color w:val="000000" w:themeColor="text1"/>
          <w:sz w:val="28"/>
          <w:szCs w:val="28"/>
          <w14:textFill>
            <w14:solidFill>
              <w14:schemeClr w14:val="tx1"/>
            </w14:solidFill>
          </w14:textFill>
        </w:rPr>
        <w:t>2020年中期建设目标：</w:t>
      </w:r>
      <w:r>
        <w:rPr>
          <w:rFonts w:ascii="Times New Roman" w:hAnsi="Times New Roman" w:eastAsia="仿宋_GB2312" w:cs="Times New Roman"/>
          <w:color w:val="000000"/>
          <w:sz w:val="28"/>
          <w:szCs w:val="28"/>
        </w:rPr>
        <w:t>第五轮学科评估进入全国</w:t>
      </w:r>
      <w:r>
        <w:rPr>
          <w:rFonts w:hint="eastAsia" w:ascii="Times New Roman" w:hAnsi="Times New Roman" w:eastAsia="仿宋_GB2312" w:cs="Times New Roman"/>
          <w:color w:val="000000"/>
          <w:sz w:val="28"/>
          <w:szCs w:val="28"/>
        </w:rPr>
        <w:t>前20</w:t>
      </w:r>
      <w:r>
        <w:rPr>
          <w:rFonts w:ascii="Times New Roman" w:hAnsi="Times New Roman" w:eastAsia="仿宋_GB2312" w:cs="Times New Roman"/>
          <w:color w:val="000000"/>
          <w:sz w:val="28"/>
          <w:szCs w:val="28"/>
        </w:rPr>
        <w:t>%，达到B</w:t>
      </w:r>
      <w:r>
        <w:rPr>
          <w:rFonts w:ascii="Times New Roman" w:hAnsi="Times New Roman" w:eastAsia="仿宋_GB2312" w:cs="Times New Roman"/>
          <w:color w:val="000000"/>
          <w:sz w:val="28"/>
          <w:szCs w:val="28"/>
          <w:vertAlign w:val="superscript"/>
        </w:rPr>
        <w:t>+</w:t>
      </w:r>
      <w:r>
        <w:rPr>
          <w:rFonts w:ascii="Times New Roman" w:hAnsi="Times New Roman" w:eastAsia="仿宋_GB2312" w:cs="Times New Roman"/>
          <w:color w:val="000000"/>
          <w:sz w:val="28"/>
          <w:szCs w:val="28"/>
        </w:rPr>
        <w:t>水平。</w:t>
      </w:r>
    </w:p>
    <w:p>
      <w:pPr>
        <w:adjustRightInd w:val="0"/>
        <w:snapToGrid w:val="0"/>
        <w:spacing w:line="360" w:lineRule="auto"/>
        <w:ind w:firstLine="562" w:firstLineChars="200"/>
        <w:rPr>
          <w:rFonts w:ascii="Times New Roman" w:hAnsi="Times New Roman" w:eastAsia="仿宋_GB2312" w:cs="Times New Roman"/>
          <w:color w:val="000000"/>
          <w:sz w:val="28"/>
          <w:szCs w:val="28"/>
        </w:rPr>
      </w:pPr>
      <w:r>
        <w:rPr>
          <w:rFonts w:ascii="Times New Roman" w:hAnsi="Times New Roman" w:eastAsia="仿宋_GB2312" w:cs="Times New Roman"/>
          <w:b/>
          <w:color w:val="000000" w:themeColor="text1"/>
          <w:sz w:val="28"/>
          <w:szCs w:val="28"/>
          <w14:textFill>
            <w14:solidFill>
              <w14:schemeClr w14:val="tx1"/>
            </w14:solidFill>
          </w14:textFill>
        </w:rPr>
        <w:t>2022年终期建设目标：</w:t>
      </w:r>
      <w:r>
        <w:rPr>
          <w:rFonts w:ascii="Times New Roman" w:hAnsi="Times New Roman" w:eastAsia="仿宋_GB2312" w:cs="Times New Roman"/>
          <w:color w:val="000000" w:themeColor="text1"/>
          <w:sz w:val="28"/>
          <w:szCs w:val="28"/>
          <w14:textFill>
            <w14:solidFill>
              <w14:schemeClr w14:val="tx1"/>
            </w14:solidFill>
          </w14:textFill>
        </w:rPr>
        <w:t>学科</w:t>
      </w:r>
      <w:r>
        <w:rPr>
          <w:rFonts w:ascii="Times New Roman" w:hAnsi="Times New Roman" w:eastAsia="仿宋_GB2312" w:cs="Times New Roman"/>
          <w:color w:val="000000"/>
          <w:sz w:val="28"/>
          <w:szCs w:val="28"/>
        </w:rPr>
        <w:t>整体达到国家A类</w:t>
      </w:r>
      <w:r>
        <w:rPr>
          <w:rFonts w:hint="eastAsia" w:ascii="Times New Roman" w:hAnsi="Times New Roman" w:eastAsia="仿宋_GB2312" w:cs="Times New Roman"/>
          <w:color w:val="000000"/>
          <w:sz w:val="28"/>
          <w:szCs w:val="28"/>
        </w:rPr>
        <w:t>学科</w:t>
      </w:r>
      <w:r>
        <w:rPr>
          <w:rFonts w:ascii="Times New Roman" w:hAnsi="Times New Roman" w:eastAsia="仿宋_GB2312" w:cs="Times New Roman"/>
          <w:color w:val="000000"/>
          <w:sz w:val="28"/>
          <w:szCs w:val="28"/>
        </w:rPr>
        <w:t>水平。</w:t>
      </w:r>
    </w:p>
    <w:p>
      <w:pPr>
        <w:adjustRightInd w:val="0"/>
        <w:snapToGrid w:val="0"/>
        <w:spacing w:line="360" w:lineRule="auto"/>
        <w:ind w:firstLine="560" w:firstLineChars="200"/>
        <w:rPr>
          <w:rFonts w:ascii="Times New Roman" w:hAnsi="Times New Roman" w:eastAsia="黑体" w:cs="Times New Roman"/>
          <w:sz w:val="28"/>
        </w:rPr>
      </w:pPr>
      <w:r>
        <w:rPr>
          <w:rFonts w:ascii="Times New Roman" w:hAnsi="Times New Roman" w:eastAsia="黑体" w:cs="Times New Roman"/>
          <w:sz w:val="28"/>
        </w:rPr>
        <w:t>四、建设任务</w:t>
      </w:r>
    </w:p>
    <w:p>
      <w:pPr>
        <w:adjustRightInd w:val="0"/>
        <w:snapToGrid w:val="0"/>
        <w:spacing w:line="360" w:lineRule="auto"/>
        <w:ind w:firstLine="560" w:firstLineChars="200"/>
        <w:rPr>
          <w:rFonts w:ascii="Times New Roman" w:hAnsi="Times New Roman" w:eastAsia="仿宋_GB2312" w:cs="Times New Roman"/>
          <w:color w:val="000000" w:themeColor="text1"/>
          <w:sz w:val="28"/>
          <w:szCs w:val="28"/>
          <w14:textFill>
            <w14:solidFill>
              <w14:schemeClr w14:val="tx1"/>
            </w14:solidFill>
          </w14:textFill>
        </w:rPr>
      </w:pPr>
      <w:r>
        <w:rPr>
          <w:rFonts w:ascii="Times New Roman" w:hAnsi="Times New Roman" w:eastAsia="仿宋_GB2312" w:cs="Times New Roman"/>
          <w:color w:val="000000" w:themeColor="text1"/>
          <w:sz w:val="28"/>
          <w:szCs w:val="28"/>
          <w14:textFill>
            <w14:solidFill>
              <w14:schemeClr w14:val="tx1"/>
            </w14:solidFill>
          </w14:textFill>
        </w:rPr>
        <w:t>（一）人才培养</w:t>
      </w:r>
    </w:p>
    <w:p>
      <w:pPr>
        <w:tabs>
          <w:tab w:val="left" w:pos="146"/>
          <w:tab w:val="left" w:pos="431"/>
        </w:tabs>
        <w:adjustRightInd w:val="0"/>
        <w:snapToGrid w:val="0"/>
        <w:spacing w:line="360" w:lineRule="auto"/>
        <w:ind w:firstLine="560" w:firstLineChars="200"/>
        <w:rPr>
          <w:rFonts w:ascii="Times New Roman" w:hAnsi="Times New Roman" w:eastAsia="仿宋_GB2312" w:cs="Times New Roman"/>
          <w:bCs/>
          <w:sz w:val="28"/>
          <w:szCs w:val="28"/>
        </w:rPr>
      </w:pPr>
      <w:r>
        <w:rPr>
          <w:rFonts w:ascii="Times New Roman" w:hAnsi="Times New Roman" w:eastAsia="仿宋_GB2312" w:cs="Times New Roman"/>
          <w:bCs/>
          <w:sz w:val="28"/>
          <w:szCs w:val="28"/>
        </w:rPr>
        <w:t>1.</w:t>
      </w:r>
      <w:r>
        <w:rPr>
          <w:rFonts w:hint="eastAsia" w:ascii="Times New Roman" w:hAnsi="Times New Roman" w:eastAsia="仿宋_GB2312" w:cs="Times New Roman"/>
          <w:bCs/>
          <w:sz w:val="28"/>
          <w:szCs w:val="28"/>
        </w:rPr>
        <w:t>“以创新创业为目标导向的动物科学专业人才培养模式的改革与实践”项目获</w:t>
      </w:r>
      <w:r>
        <w:rPr>
          <w:rFonts w:ascii="Times New Roman" w:hAnsi="Times New Roman" w:eastAsia="仿宋_GB2312" w:cs="Times New Roman"/>
          <w:bCs/>
          <w:sz w:val="28"/>
          <w:szCs w:val="28"/>
        </w:rPr>
        <w:t>国家级教学成果奖二等奖</w:t>
      </w:r>
      <w:r>
        <w:rPr>
          <w:rFonts w:hint="eastAsia" w:ascii="Times New Roman" w:hAnsi="Times New Roman" w:eastAsia="仿宋_GB2312" w:cs="Times New Roman"/>
          <w:bCs/>
          <w:sz w:val="28"/>
          <w:szCs w:val="28"/>
        </w:rPr>
        <w:t>；“产教融合研究生培养模式的改革与实践”获国家级</w:t>
      </w:r>
      <w:r>
        <w:rPr>
          <w:rFonts w:ascii="Times New Roman" w:hAnsi="Times New Roman" w:eastAsia="仿宋_GB2312" w:cs="Times New Roman"/>
          <w:bCs/>
          <w:sz w:val="28"/>
          <w:szCs w:val="28"/>
        </w:rPr>
        <w:t>研究生教育成果奖</w:t>
      </w:r>
      <w:r>
        <w:rPr>
          <w:rFonts w:hint="eastAsia" w:ascii="Times New Roman" w:hAnsi="Times New Roman" w:eastAsia="仿宋_GB2312" w:cs="Times New Roman"/>
          <w:bCs/>
          <w:sz w:val="28"/>
          <w:szCs w:val="28"/>
        </w:rPr>
        <w:t>二</w:t>
      </w:r>
      <w:r>
        <w:rPr>
          <w:rFonts w:ascii="Times New Roman" w:hAnsi="Times New Roman" w:eastAsia="仿宋_GB2312" w:cs="Times New Roman"/>
          <w:bCs/>
          <w:sz w:val="28"/>
          <w:szCs w:val="28"/>
        </w:rPr>
        <w:t>等奖；</w:t>
      </w:r>
    </w:p>
    <w:p>
      <w:pPr>
        <w:tabs>
          <w:tab w:val="left" w:pos="146"/>
          <w:tab w:val="left" w:pos="431"/>
        </w:tabs>
        <w:adjustRightInd w:val="0"/>
        <w:snapToGrid w:val="0"/>
        <w:spacing w:line="360" w:lineRule="auto"/>
        <w:ind w:firstLine="560" w:firstLineChars="200"/>
        <w:rPr>
          <w:rFonts w:ascii="Times New Roman" w:hAnsi="Times New Roman" w:eastAsia="仿宋_GB2312" w:cs="Times New Roman"/>
          <w:bCs/>
          <w:sz w:val="28"/>
          <w:szCs w:val="28"/>
        </w:rPr>
      </w:pPr>
      <w:r>
        <w:rPr>
          <w:rFonts w:ascii="Times New Roman" w:hAnsi="Times New Roman" w:eastAsia="仿宋_GB2312" w:cs="Times New Roman"/>
          <w:bCs/>
          <w:sz w:val="28"/>
          <w:szCs w:val="28"/>
        </w:rPr>
        <w:t>2.新增</w:t>
      </w:r>
      <w:r>
        <w:rPr>
          <w:rFonts w:hint="eastAsia" w:ascii="Times New Roman" w:hAnsi="Times New Roman" w:eastAsia="仿宋_GB2312" w:cs="Times New Roman"/>
          <w:bCs/>
          <w:sz w:val="28"/>
          <w:szCs w:val="28"/>
        </w:rPr>
        <w:t>动物科学</w:t>
      </w:r>
      <w:r>
        <w:rPr>
          <w:rFonts w:ascii="Times New Roman" w:hAnsi="Times New Roman" w:eastAsia="仿宋_GB2312" w:cs="Times New Roman"/>
          <w:bCs/>
          <w:sz w:val="28"/>
          <w:szCs w:val="28"/>
        </w:rPr>
        <w:t>国家级实验教学示范中心或国家虚拟仿真实验教学中心1个；</w:t>
      </w:r>
    </w:p>
    <w:p>
      <w:pPr>
        <w:adjustRightInd w:val="0"/>
        <w:snapToGrid w:val="0"/>
        <w:spacing w:line="360" w:lineRule="auto"/>
        <w:ind w:firstLine="560" w:firstLineChars="200"/>
        <w:rPr>
          <w:rFonts w:ascii="Times New Roman" w:hAnsi="Times New Roman" w:eastAsia="仿宋_GB2312" w:cs="Times New Roman"/>
          <w:bCs/>
          <w:sz w:val="28"/>
          <w:szCs w:val="28"/>
        </w:rPr>
      </w:pPr>
      <w:r>
        <w:rPr>
          <w:rFonts w:ascii="Times New Roman" w:hAnsi="Times New Roman" w:eastAsia="仿宋_GB2312" w:cs="Times New Roman"/>
          <w:bCs/>
          <w:sz w:val="28"/>
          <w:szCs w:val="28"/>
        </w:rPr>
        <w:t>3.新增国家级精品视频公开课、国家级精品资源共享课或国家在线开放课程2门，</w:t>
      </w:r>
      <w:r>
        <w:rPr>
          <w:rFonts w:hint="eastAsia" w:ascii="Times New Roman" w:hAnsi="Times New Roman" w:eastAsia="仿宋_GB2312" w:cs="Times New Roman"/>
          <w:bCs/>
          <w:sz w:val="28"/>
          <w:szCs w:val="28"/>
        </w:rPr>
        <w:t>国家级规划教材2部，</w:t>
      </w:r>
      <w:r>
        <w:rPr>
          <w:rFonts w:ascii="Times New Roman" w:hAnsi="Times New Roman" w:eastAsia="仿宋_GB2312" w:cs="Times New Roman"/>
          <w:bCs/>
          <w:sz w:val="28"/>
          <w:szCs w:val="28"/>
        </w:rPr>
        <w:t>教育部来华留学英语授课品牌课2门；</w:t>
      </w:r>
    </w:p>
    <w:p>
      <w:pPr>
        <w:adjustRightInd w:val="0"/>
        <w:snapToGrid w:val="0"/>
        <w:spacing w:line="360" w:lineRule="auto"/>
        <w:ind w:firstLine="560" w:firstLineChars="200"/>
        <w:rPr>
          <w:rFonts w:ascii="Times New Roman" w:hAnsi="Times New Roman" w:eastAsia="仿宋_GB2312" w:cs="Times New Roman"/>
          <w:bCs/>
          <w:sz w:val="28"/>
          <w:szCs w:val="28"/>
        </w:rPr>
      </w:pPr>
      <w:r>
        <w:rPr>
          <w:rFonts w:ascii="Times New Roman" w:hAnsi="Times New Roman" w:eastAsia="仿宋_GB2312" w:cs="Times New Roman"/>
          <w:bCs/>
          <w:sz w:val="28"/>
          <w:szCs w:val="28"/>
        </w:rPr>
        <w:t>4.新增省级优秀博士论文2篇，省优秀硕士学位论文或省优秀专业学位硕士论文8篇；</w:t>
      </w:r>
    </w:p>
    <w:p>
      <w:pPr>
        <w:adjustRightInd w:val="0"/>
        <w:snapToGrid w:val="0"/>
        <w:spacing w:line="360" w:lineRule="auto"/>
        <w:ind w:firstLine="560" w:firstLineChars="200"/>
        <w:rPr>
          <w:rFonts w:ascii="Times New Roman" w:hAnsi="Times New Roman" w:eastAsia="仿宋_GB2312" w:cs="Times New Roman"/>
          <w:bCs/>
          <w:sz w:val="28"/>
          <w:szCs w:val="28"/>
        </w:rPr>
      </w:pPr>
      <w:r>
        <w:rPr>
          <w:rFonts w:ascii="Times New Roman" w:hAnsi="Times New Roman" w:eastAsia="仿宋_GB2312" w:cs="Times New Roman"/>
          <w:bCs/>
          <w:sz w:val="28"/>
          <w:szCs w:val="28"/>
        </w:rPr>
        <w:t>5.</w:t>
      </w:r>
      <w:r>
        <w:rPr>
          <w:rFonts w:hint="eastAsia" w:ascii="Times New Roman" w:hAnsi="Times New Roman" w:eastAsia="仿宋_GB2312" w:cs="Times New Roman"/>
          <w:bCs/>
          <w:sz w:val="28"/>
          <w:szCs w:val="28"/>
        </w:rPr>
        <w:t>动物科学专业获江苏省</w:t>
      </w:r>
      <w:r>
        <w:rPr>
          <w:rFonts w:ascii="Times New Roman" w:hAnsi="Times New Roman" w:eastAsia="仿宋_GB2312" w:cs="Times New Roman"/>
          <w:bCs/>
          <w:sz w:val="28"/>
          <w:szCs w:val="28"/>
        </w:rPr>
        <w:t>品牌专业</w:t>
      </w:r>
      <w:r>
        <w:rPr>
          <w:rFonts w:hint="eastAsia" w:ascii="Times New Roman" w:hAnsi="Times New Roman" w:eastAsia="仿宋_GB2312" w:cs="Times New Roman"/>
          <w:bCs/>
          <w:sz w:val="28"/>
          <w:szCs w:val="28"/>
        </w:rPr>
        <w:t>立项建设</w:t>
      </w:r>
      <w:r>
        <w:rPr>
          <w:rFonts w:ascii="Times New Roman" w:hAnsi="Times New Roman" w:eastAsia="仿宋_GB2312" w:cs="Times New Roman"/>
          <w:bCs/>
          <w:sz w:val="28"/>
          <w:szCs w:val="28"/>
        </w:rPr>
        <w:t>、</w:t>
      </w:r>
      <w:r>
        <w:rPr>
          <w:rFonts w:hint="eastAsia" w:ascii="Times New Roman" w:hAnsi="Times New Roman" w:eastAsia="仿宋_GB2312" w:cs="Times New Roman"/>
          <w:bCs/>
          <w:sz w:val="28"/>
          <w:szCs w:val="28"/>
        </w:rPr>
        <w:t>新增</w:t>
      </w:r>
      <w:r>
        <w:rPr>
          <w:rFonts w:ascii="Times New Roman" w:hAnsi="Times New Roman" w:eastAsia="仿宋_GB2312" w:cs="Times New Roman"/>
          <w:bCs/>
          <w:sz w:val="28"/>
          <w:szCs w:val="28"/>
        </w:rPr>
        <w:t>省级教学成果</w:t>
      </w:r>
      <w:r>
        <w:rPr>
          <w:rFonts w:hint="eastAsia" w:ascii="Times New Roman" w:hAnsi="Times New Roman" w:eastAsia="仿宋_GB2312" w:cs="Times New Roman"/>
          <w:bCs/>
          <w:sz w:val="28"/>
          <w:szCs w:val="28"/>
        </w:rPr>
        <w:t>特等</w:t>
      </w:r>
      <w:r>
        <w:rPr>
          <w:rFonts w:ascii="Times New Roman" w:hAnsi="Times New Roman" w:eastAsia="仿宋_GB2312" w:cs="Times New Roman"/>
          <w:bCs/>
          <w:sz w:val="28"/>
          <w:szCs w:val="28"/>
        </w:rPr>
        <w:t>奖1项，江苏省研究生教育改革成果奖一等奖1项。</w:t>
      </w:r>
    </w:p>
    <w:p>
      <w:pPr>
        <w:adjustRightInd w:val="0"/>
        <w:snapToGrid w:val="0"/>
        <w:spacing w:line="360" w:lineRule="auto"/>
        <w:ind w:firstLine="560" w:firstLineChars="200"/>
        <w:rPr>
          <w:rFonts w:ascii="Times New Roman" w:hAnsi="Times New Roman" w:eastAsia="仿宋_GB2312" w:cs="Times New Roman"/>
          <w:color w:val="000000" w:themeColor="text1"/>
          <w:sz w:val="28"/>
          <w:szCs w:val="28"/>
          <w14:textFill>
            <w14:solidFill>
              <w14:schemeClr w14:val="tx1"/>
            </w14:solidFill>
          </w14:textFill>
        </w:rPr>
      </w:pPr>
      <w:r>
        <w:rPr>
          <w:rFonts w:ascii="Times New Roman" w:hAnsi="Times New Roman" w:eastAsia="仿宋_GB2312" w:cs="Times New Roman"/>
          <w:color w:val="000000" w:themeColor="text1"/>
          <w:sz w:val="28"/>
          <w:szCs w:val="28"/>
          <w14:textFill>
            <w14:solidFill>
              <w14:schemeClr w14:val="tx1"/>
            </w14:solidFill>
          </w14:textFill>
        </w:rPr>
        <w:t>（二）团队建设</w:t>
      </w:r>
    </w:p>
    <w:p>
      <w:pPr>
        <w:tabs>
          <w:tab w:val="left" w:pos="536"/>
          <w:tab w:val="left" w:pos="611"/>
        </w:tabs>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1.新增两院院士1名；</w:t>
      </w:r>
    </w:p>
    <w:p>
      <w:pPr>
        <w:tabs>
          <w:tab w:val="left" w:pos="536"/>
          <w:tab w:val="left" w:pos="611"/>
        </w:tabs>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2.新增“千人计划”创新人才长期项目2项，入选“长江学者”特聘教授1名、国家杰出青年科学基金获得者1名、</w:t>
      </w:r>
      <w:r>
        <w:rPr>
          <w:rFonts w:hint="eastAsia" w:ascii="Times New Roman" w:hAnsi="Times New Roman" w:eastAsia="仿宋_GB2312" w:cs="Times New Roman"/>
          <w:sz w:val="28"/>
          <w:szCs w:val="28"/>
        </w:rPr>
        <w:t>国家级百千万人才工程人选 2名、</w:t>
      </w:r>
      <w:r>
        <w:rPr>
          <w:rFonts w:ascii="Times New Roman" w:hAnsi="Times New Roman" w:eastAsia="仿宋_GB2312" w:cs="Times New Roman"/>
          <w:sz w:val="28"/>
          <w:szCs w:val="28"/>
        </w:rPr>
        <w:t>“万人计划”领军人才1名</w:t>
      </w:r>
      <w:r>
        <w:rPr>
          <w:rFonts w:hint="eastAsia" w:ascii="Times New Roman" w:hAnsi="Times New Roman" w:eastAsia="仿宋_GB2312" w:cs="Times New Roman"/>
          <w:sz w:val="28"/>
          <w:szCs w:val="28"/>
        </w:rPr>
        <w:t>、“四青”人才2 名、中科院百人计划入选者1名</w:t>
      </w:r>
      <w:r>
        <w:rPr>
          <w:rFonts w:ascii="Times New Roman" w:hAnsi="Times New Roman" w:eastAsia="仿宋_GB2312" w:cs="Times New Roman"/>
          <w:sz w:val="28"/>
          <w:szCs w:val="28"/>
        </w:rPr>
        <w:t>；</w:t>
      </w:r>
    </w:p>
    <w:p>
      <w:pPr>
        <w:tabs>
          <w:tab w:val="left" w:pos="536"/>
          <w:tab w:val="left" w:pos="611"/>
        </w:tabs>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3.</w:t>
      </w:r>
      <w:r>
        <w:rPr>
          <w:rFonts w:hint="eastAsia" w:ascii="Times New Roman" w:hAnsi="Times New Roman" w:eastAsia="仿宋_GB2312" w:cs="Times New Roman"/>
          <w:sz w:val="28"/>
          <w:szCs w:val="28"/>
        </w:rPr>
        <w:t>新增</w:t>
      </w:r>
      <w:r>
        <w:rPr>
          <w:rFonts w:ascii="Times New Roman" w:hAnsi="Times New Roman" w:eastAsia="仿宋_GB2312" w:cs="Times New Roman"/>
          <w:sz w:val="28"/>
          <w:szCs w:val="28"/>
        </w:rPr>
        <w:t>国家自然基金委创新群体1个；</w:t>
      </w:r>
    </w:p>
    <w:p>
      <w:pPr>
        <w:tabs>
          <w:tab w:val="left" w:pos="536"/>
          <w:tab w:val="left" w:pos="611"/>
        </w:tabs>
        <w:adjustRightInd w:val="0"/>
        <w:snapToGrid w:val="0"/>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4.新增国务院学科评议组成员1 人，全国二级学会主要负责人（会长）</w:t>
      </w:r>
      <w:r>
        <w:rPr>
          <w:rFonts w:ascii="Times New Roman" w:hAnsi="Times New Roman" w:eastAsia="仿宋_GB2312" w:cs="Times New Roman"/>
          <w:sz w:val="28"/>
          <w:szCs w:val="28"/>
        </w:rPr>
        <w:t>1</w:t>
      </w:r>
      <w:r>
        <w:rPr>
          <w:rFonts w:hint="eastAsia" w:ascii="Times New Roman" w:hAnsi="Times New Roman" w:eastAsia="仿宋_GB2312" w:cs="Times New Roman"/>
          <w:sz w:val="28"/>
          <w:szCs w:val="28"/>
        </w:rPr>
        <w:t>人；</w:t>
      </w:r>
    </w:p>
    <w:p>
      <w:pPr>
        <w:tabs>
          <w:tab w:val="left" w:pos="536"/>
          <w:tab w:val="left" w:pos="611"/>
        </w:tabs>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5.</w:t>
      </w:r>
      <w:r>
        <w:rPr>
          <w:rFonts w:hint="eastAsia" w:ascii="Times New Roman" w:hAnsi="Times New Roman" w:eastAsia="仿宋_GB2312" w:cs="Times New Roman"/>
          <w:sz w:val="28"/>
          <w:szCs w:val="28"/>
        </w:rPr>
        <w:t>新增</w:t>
      </w:r>
      <w:r>
        <w:rPr>
          <w:rFonts w:ascii="Times New Roman" w:hAnsi="Times New Roman" w:eastAsia="仿宋_GB2312" w:cs="Times New Roman"/>
          <w:sz w:val="28"/>
          <w:szCs w:val="28"/>
        </w:rPr>
        <w:t>省“333工程”一层次培养对象1名，二层次培养对象2名，江苏省特聘教授2名</w:t>
      </w:r>
      <w:r>
        <w:rPr>
          <w:rFonts w:hint="eastAsia" w:ascii="Times New Roman" w:hAnsi="Times New Roman" w:eastAsia="仿宋_GB2312" w:cs="Times New Roman"/>
          <w:sz w:val="28"/>
          <w:szCs w:val="28"/>
        </w:rPr>
        <w:t>；</w:t>
      </w:r>
    </w:p>
    <w:p>
      <w:pPr>
        <w:tabs>
          <w:tab w:val="left" w:pos="536"/>
          <w:tab w:val="left" w:pos="611"/>
        </w:tabs>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6</w:t>
      </w:r>
      <w:r>
        <w:rPr>
          <w:rFonts w:hint="eastAsia" w:ascii="Times New Roman" w:hAnsi="Times New Roman" w:eastAsia="仿宋_GB2312" w:cs="Times New Roman"/>
          <w:sz w:val="28"/>
          <w:szCs w:val="28"/>
        </w:rPr>
        <w:t>.新增教育部新世纪优秀人才支持计划人选2名，科技部创新人才计划人选2名；</w:t>
      </w:r>
    </w:p>
    <w:p>
      <w:pPr>
        <w:tabs>
          <w:tab w:val="left" w:pos="536"/>
          <w:tab w:val="left" w:pos="611"/>
        </w:tabs>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7.新增黄大年式教师团队1个，国家级教学团队1个；</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8.新增教育部创新团队、科技部重点领域创新团队或江苏省双创团队3个；</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9.新增省级教学团队1个。</w:t>
      </w:r>
    </w:p>
    <w:p>
      <w:pPr>
        <w:adjustRightInd w:val="0"/>
        <w:snapToGrid w:val="0"/>
        <w:spacing w:line="360" w:lineRule="auto"/>
        <w:ind w:firstLine="560" w:firstLineChars="200"/>
        <w:rPr>
          <w:rFonts w:ascii="Times New Roman" w:hAnsi="Times New Roman" w:eastAsia="仿宋_GB2312" w:cs="Times New Roman"/>
          <w:color w:val="000000" w:themeColor="text1"/>
          <w:sz w:val="28"/>
          <w:szCs w:val="28"/>
          <w14:textFill>
            <w14:solidFill>
              <w14:schemeClr w14:val="tx1"/>
            </w14:solidFill>
          </w14:textFill>
        </w:rPr>
      </w:pPr>
      <w:r>
        <w:rPr>
          <w:rFonts w:ascii="Times New Roman" w:hAnsi="Times New Roman" w:eastAsia="仿宋_GB2312" w:cs="Times New Roman"/>
          <w:color w:val="000000" w:themeColor="text1"/>
          <w:sz w:val="28"/>
          <w:szCs w:val="28"/>
          <w14:textFill>
            <w14:solidFill>
              <w14:schemeClr w14:val="tx1"/>
            </w14:solidFill>
          </w14:textFill>
        </w:rPr>
        <w:t>（三）科研创新</w:t>
      </w:r>
    </w:p>
    <w:p>
      <w:pPr>
        <w:adjustRightInd w:val="0"/>
        <w:snapToGrid w:val="0"/>
        <w:spacing w:line="360" w:lineRule="auto"/>
        <w:ind w:firstLine="560" w:firstLineChars="200"/>
        <w:rPr>
          <w:rFonts w:ascii="Times New Roman" w:hAnsi="Times New Roman" w:eastAsia="仿宋_GB2312" w:cs="Times New Roman"/>
          <w:bCs/>
          <w:sz w:val="28"/>
          <w:szCs w:val="28"/>
        </w:rPr>
      </w:pPr>
      <w:r>
        <w:rPr>
          <w:rFonts w:ascii="Times New Roman" w:hAnsi="Times New Roman" w:eastAsia="仿宋_GB2312" w:cs="Times New Roman"/>
          <w:bCs/>
          <w:sz w:val="28"/>
          <w:szCs w:val="28"/>
        </w:rPr>
        <w:t>1.</w:t>
      </w:r>
      <w:r>
        <w:rPr>
          <w:rFonts w:hint="eastAsia" w:ascii="Times New Roman" w:hAnsi="Times New Roman" w:eastAsia="仿宋_GB2312" w:cs="Times New Roman"/>
          <w:bCs/>
          <w:sz w:val="28"/>
          <w:szCs w:val="28"/>
        </w:rPr>
        <w:t>新增国家自然科学二等奖、国家科技进步</w:t>
      </w:r>
      <w:r>
        <w:rPr>
          <w:rFonts w:ascii="Times New Roman" w:hAnsi="Times New Roman" w:eastAsia="仿宋_GB2312" w:cs="Times New Roman"/>
          <w:bCs/>
          <w:sz w:val="28"/>
          <w:szCs w:val="28"/>
        </w:rPr>
        <w:t>二等奖</w:t>
      </w:r>
      <w:r>
        <w:rPr>
          <w:rFonts w:hint="eastAsia" w:ascii="Times New Roman" w:hAnsi="Times New Roman" w:eastAsia="仿宋_GB2312" w:cs="Times New Roman"/>
          <w:bCs/>
          <w:sz w:val="28"/>
          <w:szCs w:val="28"/>
        </w:rPr>
        <w:t>各1项</w:t>
      </w:r>
      <w:r>
        <w:rPr>
          <w:rFonts w:ascii="Times New Roman" w:hAnsi="Times New Roman" w:eastAsia="仿宋_GB2312" w:cs="Times New Roman"/>
          <w:bCs/>
          <w:sz w:val="28"/>
          <w:szCs w:val="28"/>
        </w:rPr>
        <w:t>；</w:t>
      </w:r>
    </w:p>
    <w:p>
      <w:pPr>
        <w:adjustRightInd w:val="0"/>
        <w:snapToGrid w:val="0"/>
        <w:spacing w:line="360" w:lineRule="auto"/>
        <w:ind w:firstLine="560" w:firstLineChars="200"/>
        <w:rPr>
          <w:rFonts w:ascii="Times New Roman" w:hAnsi="Times New Roman" w:eastAsia="仿宋_GB2312" w:cs="Times New Roman"/>
          <w:bCs/>
          <w:sz w:val="28"/>
          <w:szCs w:val="28"/>
        </w:rPr>
      </w:pPr>
      <w:r>
        <w:rPr>
          <w:rFonts w:ascii="Times New Roman" w:hAnsi="Times New Roman" w:eastAsia="仿宋_GB2312" w:cs="Times New Roman"/>
          <w:bCs/>
          <w:sz w:val="28"/>
          <w:szCs w:val="28"/>
        </w:rPr>
        <w:t>2.新增教育部高等学校科学研究优秀成果奖（科学技术）一等奖2项，二等奖2项；</w:t>
      </w:r>
    </w:p>
    <w:p>
      <w:pPr>
        <w:adjustRightInd w:val="0"/>
        <w:snapToGrid w:val="0"/>
        <w:spacing w:line="360" w:lineRule="auto"/>
        <w:ind w:firstLine="560" w:firstLineChars="200"/>
        <w:rPr>
          <w:rFonts w:ascii="Times New Roman" w:hAnsi="Times New Roman" w:eastAsia="仿宋_GB2312" w:cs="Times New Roman"/>
          <w:bCs/>
          <w:sz w:val="28"/>
          <w:szCs w:val="28"/>
        </w:rPr>
      </w:pPr>
      <w:r>
        <w:rPr>
          <w:rFonts w:ascii="Times New Roman" w:hAnsi="Times New Roman" w:eastAsia="仿宋_GB2312" w:cs="Times New Roman"/>
          <w:bCs/>
          <w:sz w:val="28"/>
          <w:szCs w:val="28"/>
        </w:rPr>
        <w:t>3.新增江苏省科学技术一等奖3项；</w:t>
      </w:r>
    </w:p>
    <w:p>
      <w:pPr>
        <w:adjustRightInd w:val="0"/>
        <w:snapToGrid w:val="0"/>
        <w:spacing w:line="360" w:lineRule="auto"/>
        <w:ind w:firstLine="560" w:firstLineChars="200"/>
        <w:rPr>
          <w:rFonts w:ascii="Times New Roman" w:hAnsi="Times New Roman" w:eastAsia="仿宋_GB2312" w:cs="Times New Roman"/>
          <w:bCs/>
          <w:sz w:val="28"/>
          <w:szCs w:val="28"/>
        </w:rPr>
      </w:pPr>
      <w:r>
        <w:rPr>
          <w:rFonts w:ascii="Times New Roman" w:hAnsi="Times New Roman" w:eastAsia="仿宋_GB2312" w:cs="Times New Roman"/>
          <w:bCs/>
          <w:sz w:val="28"/>
          <w:szCs w:val="28"/>
        </w:rPr>
        <w:t>4.新增中国专利奖、何梁何利科技奖各1项；</w:t>
      </w:r>
    </w:p>
    <w:p>
      <w:pPr>
        <w:adjustRightInd w:val="0"/>
        <w:snapToGrid w:val="0"/>
        <w:spacing w:line="360" w:lineRule="auto"/>
        <w:ind w:firstLine="560" w:firstLineChars="200"/>
        <w:rPr>
          <w:rFonts w:ascii="Times New Roman" w:hAnsi="Times New Roman" w:eastAsia="仿宋_GB2312" w:cs="Times New Roman"/>
          <w:bCs/>
          <w:sz w:val="28"/>
          <w:szCs w:val="28"/>
        </w:rPr>
      </w:pPr>
      <w:r>
        <w:rPr>
          <w:rFonts w:ascii="Times New Roman" w:hAnsi="Times New Roman" w:eastAsia="仿宋_GB2312" w:cs="Times New Roman"/>
          <w:bCs/>
          <w:sz w:val="28"/>
          <w:szCs w:val="28"/>
        </w:rPr>
        <w:t>5.新增国家科技重大专项或国家重点研发计划2项，国家自然科学基金重大项目/重大研究计划/重点项目2项；国际科技合作专项2项；</w:t>
      </w:r>
    </w:p>
    <w:p>
      <w:pPr>
        <w:adjustRightInd w:val="0"/>
        <w:snapToGrid w:val="0"/>
        <w:spacing w:line="360" w:lineRule="auto"/>
        <w:ind w:firstLine="560" w:firstLineChars="200"/>
        <w:rPr>
          <w:rFonts w:ascii="Times New Roman" w:hAnsi="Times New Roman" w:eastAsia="仿宋_GB2312" w:cs="Times New Roman"/>
          <w:bCs/>
          <w:sz w:val="28"/>
          <w:szCs w:val="28"/>
        </w:rPr>
      </w:pPr>
      <w:r>
        <w:rPr>
          <w:rFonts w:ascii="Times New Roman" w:hAnsi="Times New Roman" w:eastAsia="仿宋_GB2312" w:cs="Times New Roman"/>
          <w:bCs/>
          <w:sz w:val="28"/>
          <w:szCs w:val="28"/>
        </w:rPr>
        <w:t>6.新增国家自然科学基金面上项目</w:t>
      </w:r>
      <w:r>
        <w:rPr>
          <w:rFonts w:hint="eastAsia" w:ascii="Times New Roman" w:hAnsi="Times New Roman" w:eastAsia="仿宋_GB2312" w:cs="Times New Roman"/>
          <w:bCs/>
          <w:sz w:val="28"/>
          <w:szCs w:val="28"/>
        </w:rPr>
        <w:t>30</w:t>
      </w:r>
      <w:r>
        <w:rPr>
          <w:rFonts w:ascii="Times New Roman" w:hAnsi="Times New Roman" w:eastAsia="仿宋_GB2312" w:cs="Times New Roman"/>
          <w:bCs/>
          <w:sz w:val="28"/>
          <w:szCs w:val="28"/>
        </w:rPr>
        <w:t xml:space="preserve">项，青年基金项目36项； </w:t>
      </w:r>
    </w:p>
    <w:p>
      <w:pPr>
        <w:adjustRightInd w:val="0"/>
        <w:snapToGrid w:val="0"/>
        <w:spacing w:line="360" w:lineRule="auto"/>
        <w:ind w:firstLine="560" w:firstLineChars="200"/>
        <w:rPr>
          <w:rFonts w:ascii="Times New Roman" w:hAnsi="Times New Roman" w:eastAsia="仿宋_GB2312" w:cs="Times New Roman"/>
          <w:bCs/>
          <w:sz w:val="28"/>
          <w:szCs w:val="28"/>
        </w:rPr>
      </w:pPr>
      <w:r>
        <w:rPr>
          <w:rFonts w:ascii="Times New Roman" w:hAnsi="Times New Roman" w:eastAsia="仿宋_GB2312" w:cs="Times New Roman"/>
          <w:bCs/>
          <w:sz w:val="28"/>
          <w:szCs w:val="28"/>
        </w:rPr>
        <w:t>7.新增SCI收录论文数</w:t>
      </w:r>
      <w:r>
        <w:rPr>
          <w:rFonts w:hint="eastAsia" w:ascii="Times New Roman" w:hAnsi="Times New Roman" w:eastAsia="仿宋_GB2312" w:cs="Times New Roman"/>
          <w:bCs/>
          <w:sz w:val="28"/>
          <w:szCs w:val="28"/>
        </w:rPr>
        <w:t>500</w:t>
      </w:r>
      <w:r>
        <w:rPr>
          <w:rFonts w:ascii="Times New Roman" w:hAnsi="Times New Roman" w:eastAsia="仿宋_GB2312" w:cs="Times New Roman"/>
          <w:bCs/>
          <w:sz w:val="28"/>
          <w:szCs w:val="28"/>
        </w:rPr>
        <w:t>篇以上，其中在《Science》《Nature》《Cell》等国际顶级期刊及其子刊（影响因子大于10）发表高水平研究论文</w:t>
      </w:r>
      <w:r>
        <w:rPr>
          <w:rFonts w:hint="eastAsia" w:ascii="Times New Roman" w:hAnsi="Times New Roman" w:eastAsia="仿宋_GB2312" w:cs="Times New Roman"/>
          <w:bCs/>
          <w:sz w:val="28"/>
          <w:szCs w:val="28"/>
        </w:rPr>
        <w:t>4</w:t>
      </w:r>
      <w:r>
        <w:rPr>
          <w:rFonts w:ascii="Times New Roman" w:hAnsi="Times New Roman" w:eastAsia="仿宋_GB2312" w:cs="Times New Roman"/>
          <w:bCs/>
          <w:sz w:val="28"/>
          <w:szCs w:val="28"/>
        </w:rPr>
        <w:t>篇。一区期刊或本学科公认的顶级期刊发表论文</w:t>
      </w:r>
      <w:r>
        <w:rPr>
          <w:rFonts w:hint="eastAsia" w:ascii="Times New Roman" w:hAnsi="Times New Roman" w:eastAsia="仿宋_GB2312" w:cs="Times New Roman"/>
          <w:bCs/>
          <w:sz w:val="28"/>
          <w:szCs w:val="28"/>
        </w:rPr>
        <w:t>80</w:t>
      </w:r>
      <w:r>
        <w:rPr>
          <w:rFonts w:ascii="Times New Roman" w:hAnsi="Times New Roman" w:eastAsia="仿宋_GB2312" w:cs="Times New Roman"/>
          <w:bCs/>
          <w:sz w:val="28"/>
          <w:szCs w:val="28"/>
        </w:rPr>
        <w:t>篇。在NI期刊发表学术论文</w:t>
      </w:r>
      <w:r>
        <w:rPr>
          <w:rFonts w:hint="eastAsia" w:ascii="Times New Roman" w:hAnsi="Times New Roman" w:eastAsia="仿宋_GB2312" w:cs="Times New Roman"/>
          <w:bCs/>
          <w:sz w:val="28"/>
          <w:szCs w:val="28"/>
        </w:rPr>
        <w:t>10</w:t>
      </w:r>
      <w:r>
        <w:rPr>
          <w:rFonts w:ascii="Times New Roman" w:hAnsi="Times New Roman" w:eastAsia="仿宋_GB2312" w:cs="Times New Roman"/>
          <w:bCs/>
          <w:sz w:val="28"/>
          <w:szCs w:val="28"/>
        </w:rPr>
        <w:t>篇。</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bCs/>
          <w:sz w:val="28"/>
          <w:szCs w:val="28"/>
        </w:rPr>
        <w:t>8.新增审定通过国家畜禽新品种或配套系6个，转化或应用发明专利35项。</w:t>
      </w:r>
    </w:p>
    <w:p>
      <w:pPr>
        <w:adjustRightInd w:val="0"/>
        <w:snapToGrid w:val="0"/>
        <w:spacing w:line="360" w:lineRule="auto"/>
        <w:ind w:firstLine="560" w:firstLineChars="200"/>
        <w:rPr>
          <w:rFonts w:ascii="Times New Roman" w:hAnsi="Times New Roman" w:eastAsia="仿宋_GB2312" w:cs="Times New Roman"/>
          <w:color w:val="000000" w:themeColor="text1"/>
          <w:sz w:val="28"/>
          <w:szCs w:val="28"/>
          <w14:textFill>
            <w14:solidFill>
              <w14:schemeClr w14:val="tx1"/>
            </w14:solidFill>
          </w14:textFill>
        </w:rPr>
      </w:pPr>
      <w:r>
        <w:rPr>
          <w:rFonts w:ascii="Times New Roman" w:hAnsi="Times New Roman" w:eastAsia="仿宋_GB2312" w:cs="Times New Roman"/>
          <w:color w:val="000000" w:themeColor="text1"/>
          <w:sz w:val="28"/>
          <w:szCs w:val="28"/>
          <w14:textFill>
            <w14:solidFill>
              <w14:schemeClr w14:val="tx1"/>
            </w14:solidFill>
          </w14:textFill>
        </w:rPr>
        <w:t>（四）科研平台</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1.新增国家地方联合工程研究中心（工程实验室）1个，省部共建国家重点实验室1个；</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2.新增教育部重点实验室、江苏省重点实验室、或江苏省高新技术重点实验室1个；</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3.新增教育部工程研究中心或江苏省工程技术研究中心</w:t>
      </w:r>
      <w:r>
        <w:rPr>
          <w:rFonts w:hint="eastAsia" w:ascii="Times New Roman" w:hAnsi="Times New Roman" w:eastAsia="仿宋_GB2312" w:cs="Times New Roman"/>
          <w:sz w:val="28"/>
          <w:szCs w:val="28"/>
        </w:rPr>
        <w:t>1</w:t>
      </w:r>
      <w:r>
        <w:rPr>
          <w:rFonts w:ascii="Times New Roman" w:hAnsi="Times New Roman" w:eastAsia="仿宋_GB2312" w:cs="Times New Roman"/>
          <w:sz w:val="28"/>
          <w:szCs w:val="28"/>
        </w:rPr>
        <w:t>个；</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4.新增江苏省协同创新中心或培育项目1个；</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5.新增农业部重点实验室1个。</w:t>
      </w:r>
    </w:p>
    <w:p>
      <w:pPr>
        <w:adjustRightInd w:val="0"/>
        <w:snapToGrid w:val="0"/>
        <w:spacing w:line="360" w:lineRule="auto"/>
        <w:ind w:firstLine="560" w:firstLineChars="200"/>
        <w:rPr>
          <w:rFonts w:ascii="Times New Roman" w:hAnsi="Times New Roman" w:eastAsia="仿宋_GB2312" w:cs="Times New Roman"/>
          <w:color w:val="000000" w:themeColor="text1"/>
          <w:sz w:val="28"/>
          <w:szCs w:val="28"/>
          <w14:textFill>
            <w14:solidFill>
              <w14:schemeClr w14:val="tx1"/>
            </w14:solidFill>
          </w14:textFill>
        </w:rPr>
      </w:pPr>
      <w:r>
        <w:rPr>
          <w:rFonts w:ascii="Times New Roman" w:hAnsi="Times New Roman" w:eastAsia="仿宋_GB2312" w:cs="Times New Roman"/>
          <w:color w:val="000000" w:themeColor="text1"/>
          <w:sz w:val="28"/>
          <w:szCs w:val="28"/>
          <w14:textFill>
            <w14:solidFill>
              <w14:schemeClr w14:val="tx1"/>
            </w14:solidFill>
          </w14:textFill>
        </w:rPr>
        <w:t>（五）国际交流与合作</w:t>
      </w:r>
    </w:p>
    <w:p>
      <w:pPr>
        <w:pStyle w:val="15"/>
        <w:adjustRightInd w:val="0"/>
        <w:snapToGrid w:val="0"/>
        <w:spacing w:line="360" w:lineRule="auto"/>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1.新增</w:t>
      </w:r>
      <w:r>
        <w:rPr>
          <w:rFonts w:hint="eastAsia" w:ascii="Times New Roman" w:hAnsi="Times New Roman" w:eastAsia="仿宋_GB2312" w:cs="Times New Roman"/>
          <w:sz w:val="28"/>
          <w:szCs w:val="28"/>
        </w:rPr>
        <w:t>国家111计划引智基地1个，教育部</w:t>
      </w:r>
      <w:r>
        <w:rPr>
          <w:rFonts w:ascii="Times New Roman" w:hAnsi="Times New Roman" w:eastAsia="仿宋_GB2312" w:cs="Times New Roman"/>
          <w:sz w:val="28"/>
          <w:szCs w:val="28"/>
        </w:rPr>
        <w:t>国际合作联合实验室1个，积极参与教育部农业与农产品安全国际联合实验室建设，在畜禽遗传资源评价与创新利用和奶业全产业链协同创新研究这2个方向上发挥主导作用；</w:t>
      </w:r>
    </w:p>
    <w:p>
      <w:pPr>
        <w:pStyle w:val="15"/>
        <w:adjustRightInd w:val="0"/>
        <w:snapToGrid w:val="0"/>
        <w:spacing w:line="360" w:lineRule="auto"/>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2.主办承办国际性学术会议</w:t>
      </w:r>
      <w:r>
        <w:rPr>
          <w:rFonts w:hint="eastAsia" w:ascii="Times New Roman" w:hAnsi="Times New Roman" w:eastAsia="仿宋_GB2312" w:cs="Times New Roman"/>
          <w:sz w:val="28"/>
          <w:szCs w:val="28"/>
        </w:rPr>
        <w:t>8</w:t>
      </w:r>
      <w:r>
        <w:rPr>
          <w:rFonts w:ascii="Times New Roman" w:hAnsi="Times New Roman" w:eastAsia="仿宋_GB2312" w:cs="Times New Roman"/>
          <w:sz w:val="28"/>
          <w:szCs w:val="28"/>
        </w:rPr>
        <w:t>次，担任重要国际学术职务（理事及以上）4人次，在国内外重要学术会议上作报告</w:t>
      </w:r>
      <w:r>
        <w:rPr>
          <w:rFonts w:hint="eastAsia" w:ascii="Times New Roman" w:hAnsi="Times New Roman" w:eastAsia="仿宋_GB2312" w:cs="Times New Roman"/>
          <w:sz w:val="28"/>
          <w:szCs w:val="28"/>
        </w:rPr>
        <w:t>5</w:t>
      </w:r>
      <w:r>
        <w:rPr>
          <w:rFonts w:ascii="Times New Roman" w:hAnsi="Times New Roman" w:eastAsia="仿宋_GB2312" w:cs="Times New Roman"/>
          <w:sz w:val="28"/>
          <w:szCs w:val="28"/>
        </w:rPr>
        <w:t>0次以上，邀请境外专家讲座报告90次以上；</w:t>
      </w:r>
    </w:p>
    <w:p>
      <w:pPr>
        <w:pStyle w:val="15"/>
        <w:adjustRightInd w:val="0"/>
        <w:snapToGrid w:val="0"/>
        <w:spacing w:line="360" w:lineRule="auto"/>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3.资助师生参加国际学术交流100人次以上，招收培养境外留学生60人，获国际合作项目</w:t>
      </w:r>
      <w:r>
        <w:rPr>
          <w:rFonts w:hint="eastAsia" w:ascii="Times New Roman" w:hAnsi="Times New Roman" w:eastAsia="仿宋_GB2312" w:cs="Times New Roman"/>
          <w:sz w:val="28"/>
          <w:szCs w:val="28"/>
        </w:rPr>
        <w:t>4</w:t>
      </w:r>
      <w:r>
        <w:rPr>
          <w:rFonts w:ascii="Times New Roman" w:hAnsi="Times New Roman" w:eastAsia="仿宋_GB2312" w:cs="Times New Roman"/>
          <w:sz w:val="28"/>
          <w:szCs w:val="28"/>
        </w:rPr>
        <w:t>项；</w:t>
      </w:r>
    </w:p>
    <w:p>
      <w:pPr>
        <w:pStyle w:val="15"/>
        <w:adjustRightInd w:val="0"/>
        <w:snapToGrid w:val="0"/>
        <w:spacing w:line="360" w:lineRule="auto"/>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4.学生赴境外学习交流人数（90天以上）达</w:t>
      </w:r>
      <w:r>
        <w:rPr>
          <w:rFonts w:hint="eastAsia" w:ascii="Times New Roman" w:hAnsi="Times New Roman" w:eastAsia="仿宋_GB2312" w:cs="Times New Roman"/>
          <w:sz w:val="28"/>
          <w:szCs w:val="28"/>
        </w:rPr>
        <w:t>4</w:t>
      </w:r>
      <w:r>
        <w:rPr>
          <w:rFonts w:ascii="Times New Roman" w:hAnsi="Times New Roman" w:eastAsia="仿宋_GB2312" w:cs="Times New Roman"/>
          <w:sz w:val="28"/>
          <w:szCs w:val="28"/>
        </w:rPr>
        <w:t>0名，境外学生来华学习交流人数（90天以上）达</w:t>
      </w:r>
      <w:r>
        <w:rPr>
          <w:rFonts w:hint="eastAsia" w:ascii="Times New Roman" w:hAnsi="Times New Roman" w:eastAsia="仿宋_GB2312" w:cs="Times New Roman"/>
          <w:sz w:val="28"/>
          <w:szCs w:val="28"/>
        </w:rPr>
        <w:t>2</w:t>
      </w:r>
      <w:r>
        <w:rPr>
          <w:rFonts w:ascii="Times New Roman" w:hAnsi="Times New Roman" w:eastAsia="仿宋_GB2312" w:cs="Times New Roman"/>
          <w:sz w:val="28"/>
          <w:szCs w:val="28"/>
        </w:rPr>
        <w:t>0名。</w:t>
      </w:r>
    </w:p>
    <w:p>
      <w:pPr>
        <w:pStyle w:val="15"/>
        <w:adjustRightInd w:val="0"/>
        <w:snapToGrid w:val="0"/>
        <w:spacing w:line="360" w:lineRule="auto"/>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5.</w:t>
      </w:r>
      <w:r>
        <w:rPr>
          <w:rFonts w:hint="eastAsia" w:ascii="Times New Roman" w:hAnsi="Times New Roman" w:eastAsia="仿宋_GB2312" w:cs="Times New Roman"/>
          <w:sz w:val="28"/>
          <w:szCs w:val="28"/>
        </w:rPr>
        <w:t>新增教育部批准设立中外合作办学项目1个，</w:t>
      </w:r>
      <w:r>
        <w:rPr>
          <w:rFonts w:ascii="Times New Roman" w:hAnsi="Times New Roman" w:eastAsia="仿宋_GB2312" w:cs="Times New Roman"/>
          <w:sz w:val="28"/>
          <w:szCs w:val="28"/>
        </w:rPr>
        <w:t>推进畜牧学科研究生全英文课程体系建设，至2022年，50%博硕士研究生核心课程采取全英文授课或引进国外大学高水平课程。</w:t>
      </w:r>
    </w:p>
    <w:p>
      <w:pPr>
        <w:adjustRightInd w:val="0"/>
        <w:snapToGrid w:val="0"/>
        <w:spacing w:line="360" w:lineRule="auto"/>
        <w:ind w:firstLine="560" w:firstLineChars="200"/>
        <w:rPr>
          <w:rFonts w:ascii="Times New Roman" w:hAnsi="Times New Roman" w:eastAsia="仿宋_GB2312" w:cs="Times New Roman"/>
          <w:color w:val="000000" w:themeColor="text1"/>
          <w:sz w:val="28"/>
          <w:szCs w:val="28"/>
          <w14:textFill>
            <w14:solidFill>
              <w14:schemeClr w14:val="tx1"/>
            </w14:solidFill>
          </w14:textFill>
        </w:rPr>
      </w:pPr>
      <w:r>
        <w:rPr>
          <w:rFonts w:ascii="Times New Roman" w:hAnsi="Times New Roman" w:eastAsia="仿宋_GB2312" w:cs="Times New Roman"/>
          <w:color w:val="000000" w:themeColor="text1"/>
          <w:sz w:val="28"/>
          <w:szCs w:val="28"/>
          <w14:textFill>
            <w14:solidFill>
              <w14:schemeClr w14:val="tx1"/>
            </w14:solidFill>
          </w14:textFill>
        </w:rPr>
        <w:t>（六）社会服务</w:t>
      </w:r>
    </w:p>
    <w:p>
      <w:pPr>
        <w:pStyle w:val="15"/>
        <w:adjustRightInd w:val="0"/>
        <w:snapToGrid w:val="0"/>
        <w:spacing w:line="360" w:lineRule="auto"/>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1.海扬黄鸡配套系培育及产业化</w:t>
      </w:r>
    </w:p>
    <w:p>
      <w:pPr>
        <w:pStyle w:val="15"/>
        <w:adjustRightInd w:val="0"/>
        <w:snapToGrid w:val="0"/>
        <w:spacing w:line="360" w:lineRule="auto"/>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推广海扬黄鸡1.0亿只以上，新增经济效益3.6亿元，提供就业岗位4000多个。</w:t>
      </w:r>
    </w:p>
    <w:p>
      <w:pPr>
        <w:pStyle w:val="15"/>
        <w:adjustRightInd w:val="0"/>
        <w:snapToGrid w:val="0"/>
        <w:spacing w:line="360" w:lineRule="auto"/>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2.扬州鹅的产业化推广</w:t>
      </w:r>
    </w:p>
    <w:p>
      <w:pPr>
        <w:pStyle w:val="15"/>
        <w:adjustRightInd w:val="0"/>
        <w:snapToGrid w:val="0"/>
        <w:spacing w:line="360" w:lineRule="auto"/>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推广商品鹅0.24亿只，增效益1.4亿元。</w:t>
      </w:r>
    </w:p>
    <w:p>
      <w:pPr>
        <w:pStyle w:val="15"/>
        <w:adjustRightInd w:val="0"/>
        <w:snapToGrid w:val="0"/>
        <w:spacing w:line="360" w:lineRule="auto"/>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3.集成创新并推广重要畜牧生产新技术、新品种、新模式</w:t>
      </w:r>
    </w:p>
    <w:p>
      <w:pPr>
        <w:pStyle w:val="15"/>
        <w:adjustRightInd w:val="0"/>
        <w:snapToGrid w:val="0"/>
        <w:spacing w:line="360" w:lineRule="auto"/>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充分发挥本学科国家农业产业技术体系、江苏现代农业产业技术体系集成创新中心、岗位专家团队的作用，推广新技术、新模式10项以上，新增经济效益10亿元。</w:t>
      </w:r>
    </w:p>
    <w:p>
      <w:pPr>
        <w:pStyle w:val="15"/>
        <w:adjustRightInd w:val="0"/>
        <w:snapToGrid w:val="0"/>
        <w:spacing w:line="360" w:lineRule="auto"/>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4.脱产培训农技骨干人员和新型职业农民</w:t>
      </w:r>
    </w:p>
    <w:p>
      <w:pPr>
        <w:pStyle w:val="15"/>
        <w:adjustRightInd w:val="0"/>
        <w:snapToGrid w:val="0"/>
        <w:spacing w:line="360" w:lineRule="auto"/>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利用我院已经形成的农机骨干和新型职业农民培训体系、农业部“牧、草、渔”培训中心，分别培训农技骨干2000人和新型职业农民6000人以上。</w:t>
      </w:r>
    </w:p>
    <w:p>
      <w:pPr>
        <w:adjustRightInd w:val="0"/>
        <w:snapToGrid w:val="0"/>
        <w:spacing w:line="360" w:lineRule="auto"/>
        <w:ind w:firstLine="560" w:firstLineChars="200"/>
        <w:rPr>
          <w:rFonts w:ascii="Times New Roman" w:hAnsi="Times New Roman" w:eastAsia="仿宋_GB2312" w:cs="Times New Roman"/>
          <w:sz w:val="28"/>
        </w:rPr>
      </w:pPr>
      <w:r>
        <w:rPr>
          <w:rFonts w:ascii="Times New Roman" w:hAnsi="Times New Roman" w:eastAsia="黑体" w:cs="Times New Roman"/>
          <w:sz w:val="28"/>
        </w:rPr>
        <w:t>五、保障措施</w:t>
      </w:r>
    </w:p>
    <w:p>
      <w:pPr>
        <w:adjustRightInd w:val="0"/>
        <w:snapToGrid w:val="0"/>
        <w:spacing w:line="360" w:lineRule="auto"/>
        <w:ind w:firstLine="560" w:firstLineChars="200"/>
        <w:rPr>
          <w:rFonts w:ascii="Times New Roman" w:hAnsi="Times New Roman" w:eastAsia="仿宋_GB2312" w:cs="Times New Roman"/>
          <w:sz w:val="28"/>
        </w:rPr>
      </w:pPr>
      <w:r>
        <w:rPr>
          <w:rFonts w:ascii="Times New Roman" w:hAnsi="Times New Roman" w:eastAsia="仿宋_GB2312" w:cs="Times New Roman"/>
          <w:sz w:val="28"/>
        </w:rPr>
        <w:t>（一）组织保障</w:t>
      </w:r>
    </w:p>
    <w:p>
      <w:pPr>
        <w:adjustRightInd w:val="0"/>
        <w:snapToGrid w:val="0"/>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1</w:t>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学院成立</w:t>
      </w:r>
      <w:r>
        <w:rPr>
          <w:rFonts w:ascii="Times New Roman" w:hAnsi="Times New Roman" w:eastAsia="仿宋_GB2312" w:cs="Times New Roman"/>
          <w:sz w:val="28"/>
          <w:szCs w:val="28"/>
        </w:rPr>
        <w:t>畜牧学学科特区建设小组，组长由动物科学与技术学院院长</w:t>
      </w:r>
      <w:r>
        <w:rPr>
          <w:rFonts w:hint="eastAsia" w:ascii="Times New Roman" w:hAnsi="Times New Roman" w:eastAsia="仿宋_GB2312" w:cs="Times New Roman"/>
          <w:sz w:val="28"/>
          <w:szCs w:val="28"/>
        </w:rPr>
        <w:t>担任</w:t>
      </w:r>
      <w:r>
        <w:rPr>
          <w:rFonts w:ascii="Times New Roman" w:hAnsi="Times New Roman" w:eastAsia="仿宋_GB2312" w:cs="Times New Roman"/>
          <w:sz w:val="28"/>
          <w:szCs w:val="28"/>
        </w:rPr>
        <w:t>。小组成员由学院确定，并报学校审批。</w:t>
      </w:r>
    </w:p>
    <w:p>
      <w:pPr>
        <w:adjustRightInd w:val="0"/>
        <w:snapToGrid w:val="0"/>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w:t>
      </w:r>
      <w:r>
        <w:rPr>
          <w:rFonts w:ascii="Times New Roman" w:hAnsi="Times New Roman" w:eastAsia="仿宋_GB2312" w:cs="Times New Roman"/>
          <w:sz w:val="28"/>
          <w:szCs w:val="28"/>
        </w:rPr>
        <w:t>.畜牧学学科特区建设小组的主要工作职责：</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制定学科特区成员的准入条件；</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分配科研支撑条件、研究生指标、人才计划和职称指标等资源；</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制定目标管理的评价标准，明确学术团队和学术成员的年度目标和阶段性目标；</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组织对学术团队和学术成员的业绩考核，并根据考核结果进行动态管理；</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制定绩效分配方案，报学校审批。</w:t>
      </w:r>
    </w:p>
    <w:p>
      <w:pPr>
        <w:adjustRightInd w:val="0"/>
        <w:snapToGrid w:val="0"/>
        <w:spacing w:line="360" w:lineRule="auto"/>
        <w:ind w:firstLine="560" w:firstLineChars="200"/>
        <w:rPr>
          <w:rFonts w:ascii="Times New Roman" w:hAnsi="Times New Roman" w:eastAsia="仿宋_GB2312" w:cs="Times New Roman"/>
          <w:sz w:val="32"/>
          <w:szCs w:val="32"/>
        </w:rPr>
      </w:pPr>
      <w:r>
        <w:rPr>
          <w:rFonts w:ascii="Times New Roman" w:hAnsi="Times New Roman" w:eastAsia="仿宋_GB2312" w:cs="Times New Roman"/>
          <w:sz w:val="28"/>
          <w:szCs w:val="28"/>
        </w:rPr>
        <w:t>3.畜牧学学科特区配备专职学科秘书，负责学科特区日常行政事务。专职学科秘书由学科特区进行招聘，报学校备案。</w:t>
      </w:r>
    </w:p>
    <w:p>
      <w:pPr>
        <w:adjustRightInd w:val="0"/>
        <w:snapToGrid w:val="0"/>
        <w:spacing w:line="360" w:lineRule="auto"/>
        <w:ind w:firstLine="560" w:firstLineChars="200"/>
        <w:rPr>
          <w:rFonts w:ascii="Times New Roman" w:hAnsi="Times New Roman" w:eastAsia="仿宋_GB2312" w:cs="Times New Roman"/>
          <w:sz w:val="28"/>
        </w:rPr>
      </w:pPr>
      <w:r>
        <w:rPr>
          <w:rFonts w:ascii="Times New Roman" w:hAnsi="Times New Roman" w:eastAsia="仿宋_GB2312" w:cs="Times New Roman"/>
          <w:sz w:val="28"/>
        </w:rPr>
        <w:t>（二）科研条件保障</w:t>
      </w:r>
    </w:p>
    <w:p>
      <w:pPr>
        <w:numPr>
          <w:ilvl w:val="255"/>
          <w:numId w:val="0"/>
        </w:num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1.学院在科学研究支撑条件（科研用房、图书、网络、仪器设备等）方面优先保障学科特区需求。积极争取学校在科学研究支撑条件建设和相关资源分配上向学科特区倾斜。</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2.学院统筹安排江苏高校优势学科建设工程项目（畜牧学）</w:t>
      </w:r>
      <w:r>
        <w:rPr>
          <w:rFonts w:hint="eastAsia" w:ascii="Times New Roman" w:hAnsi="Times New Roman" w:eastAsia="仿宋_GB2312" w:cs="Times New Roman"/>
          <w:sz w:val="28"/>
          <w:szCs w:val="28"/>
        </w:rPr>
        <w:t>和</w:t>
      </w:r>
      <w:r>
        <w:rPr>
          <w:rFonts w:ascii="Times New Roman" w:hAnsi="Times New Roman" w:eastAsia="仿宋_GB2312" w:cs="Times New Roman"/>
          <w:sz w:val="28"/>
          <w:szCs w:val="28"/>
        </w:rPr>
        <w:t>学科特区建设经费。</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3.开展学科交叉和融合，跨学科、跨学院组织研究团队，围绕产业链，布局创新链，组建创新团队集群，开展协同创新。</w:t>
      </w:r>
    </w:p>
    <w:p>
      <w:pPr>
        <w:adjustRightInd w:val="0"/>
        <w:snapToGrid w:val="0"/>
        <w:spacing w:line="360" w:lineRule="auto"/>
        <w:ind w:firstLine="560" w:firstLineChars="200"/>
        <w:rPr>
          <w:rFonts w:ascii="Times New Roman" w:hAnsi="Times New Roman" w:eastAsia="仿宋_GB2312" w:cs="Times New Roman"/>
          <w:sz w:val="28"/>
        </w:rPr>
      </w:pPr>
      <w:r>
        <w:rPr>
          <w:rFonts w:ascii="Times New Roman" w:hAnsi="Times New Roman" w:eastAsia="仿宋_GB2312" w:cs="Times New Roman"/>
          <w:sz w:val="28"/>
        </w:rPr>
        <w:t>（三）人才培养支撑</w:t>
      </w:r>
    </w:p>
    <w:p>
      <w:pPr>
        <w:numPr>
          <w:ilvl w:val="255"/>
          <w:numId w:val="0"/>
        </w:num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1.学术型研究生指标优先满足学科特区的建设需要，确保本学院不低于70%的学术型研究生指标用于学科特区，保证进入学科特区工作的每位博士生导师至少每年1个博士生指标。</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w:t>
      </w:r>
      <w:r>
        <w:rPr>
          <w:rFonts w:ascii="Times New Roman" w:hAnsi="Times New Roman" w:eastAsia="仿宋_GB2312" w:cs="Times New Roman"/>
          <w:b/>
          <w:sz w:val="28"/>
          <w:szCs w:val="28"/>
        </w:rPr>
        <w:t>.</w:t>
      </w:r>
      <w:r>
        <w:rPr>
          <w:rFonts w:ascii="Times New Roman" w:hAnsi="Times New Roman" w:eastAsia="仿宋_GB2312" w:cs="Times New Roman"/>
          <w:sz w:val="28"/>
          <w:szCs w:val="28"/>
        </w:rPr>
        <w:t>提高学科特区硕士生、博士生和全职博士后待遇，保证特区硕士生/博士生较非特区硕士生/博士生收入每月增加400/1000元，以绩效奖励方式吸引更多优秀硕、博士研究生和全职博士后人员加入团队。</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3.设立学科特区“本-硕”连读与“本-硕-博”连读专项助学金。在2019级本科和硕士研究生中探索开展“本-硕”连读和“硕-博”连读培养试点。</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4.优先支持学科特区研究生出国交流和联合培养。</w:t>
      </w:r>
    </w:p>
    <w:p>
      <w:pPr>
        <w:adjustRightInd w:val="0"/>
        <w:snapToGrid w:val="0"/>
        <w:spacing w:line="360" w:lineRule="auto"/>
        <w:ind w:firstLine="560" w:firstLineChars="200"/>
        <w:rPr>
          <w:rFonts w:ascii="Times New Roman" w:hAnsi="Times New Roman" w:eastAsia="仿宋_GB2312" w:cs="Times New Roman"/>
          <w:sz w:val="28"/>
        </w:rPr>
      </w:pPr>
      <w:r>
        <w:rPr>
          <w:rFonts w:ascii="Times New Roman" w:hAnsi="Times New Roman" w:eastAsia="仿宋_GB2312" w:cs="Times New Roman"/>
          <w:sz w:val="28"/>
        </w:rPr>
        <w:t>（四）队伍建设支撑</w:t>
      </w:r>
    </w:p>
    <w:p>
      <w:pPr>
        <w:adjustRightInd w:val="0"/>
        <w:snapToGrid w:val="0"/>
        <w:spacing w:line="360" w:lineRule="auto"/>
        <w:ind w:firstLine="560" w:firstLineChars="200"/>
        <w:rPr>
          <w:rFonts w:ascii="Times New Roman" w:hAnsi="Times New Roman" w:eastAsia="仿宋_GB2312" w:cs="Times New Roman"/>
          <w:bCs/>
          <w:sz w:val="28"/>
          <w:szCs w:val="28"/>
        </w:rPr>
      </w:pPr>
      <w:r>
        <w:rPr>
          <w:rFonts w:ascii="Times New Roman" w:hAnsi="Times New Roman" w:eastAsia="仿宋_GB2312" w:cs="Times New Roman"/>
          <w:bCs/>
          <w:sz w:val="28"/>
          <w:szCs w:val="28"/>
        </w:rPr>
        <w:t>1.强力推进学科特区团队建设，多渠道、全方位加强人才引进和培养，鼓励团队整体申报各类省级以上教学科研团队。</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bCs/>
          <w:sz w:val="28"/>
          <w:szCs w:val="28"/>
        </w:rPr>
        <w:t>2.各类</w:t>
      </w:r>
      <w:r>
        <w:rPr>
          <w:rFonts w:ascii="Times New Roman" w:hAnsi="Times New Roman" w:eastAsia="仿宋_GB2312" w:cs="Times New Roman"/>
          <w:sz w:val="28"/>
          <w:szCs w:val="28"/>
        </w:rPr>
        <w:t>人才计划指标分配和职称晋升指标分配向学科特区倾斜，确保学科特区成员快速成长。对引进人才待遇可明显优于其他学科，优先解决引进人才家属安置等问题。</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3.优先支持学科特区成员出国研修或与国外高水平大学、科研院所合作研究。</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4.学科特区建立目标激励机制，特区成员不参与学院创收工作，奖励性绩效由学校打包至学院，由学院统一发放，特区成员同等享受由学院发放的年终绩效。对考核合格的特区成员，确保奖励性绩效比学院其他成员高出100%以上；对考核优秀的特区成员，进一步加大绩效奖励力度。</w:t>
      </w:r>
    </w:p>
    <w:p>
      <w:pPr>
        <w:adjustRightInd w:val="0"/>
        <w:snapToGrid w:val="0"/>
        <w:spacing w:line="360" w:lineRule="auto"/>
        <w:ind w:firstLine="560" w:firstLineChars="200"/>
        <w:rPr>
          <w:rFonts w:ascii="Times New Roman" w:hAnsi="Times New Roman" w:eastAsia="黑体" w:cs="Times New Roman"/>
          <w:sz w:val="28"/>
        </w:rPr>
      </w:pPr>
      <w:r>
        <w:rPr>
          <w:rFonts w:ascii="Times New Roman" w:hAnsi="Times New Roman" w:eastAsia="黑体" w:cs="Times New Roman"/>
          <w:sz w:val="28"/>
        </w:rPr>
        <w:t>六、绩效考核</w:t>
      </w:r>
    </w:p>
    <w:p>
      <w:pPr>
        <w:adjustRightInd w:val="0"/>
        <w:snapToGrid w:val="0"/>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一）学科特区的考核对象分三个层次：一是对学科特区整体建设水平的考核，由学科建设办公室负责组织实施；二是对学科特区学术团队（PI）的整体考核和学术成员的个人考核（见附表1、附表2），由学科特区负责组织实施；三是对学术团队成员的个人考核，由学术团队负责组织实施。</w:t>
      </w:r>
    </w:p>
    <w:p>
      <w:pPr>
        <w:adjustRightInd w:val="0"/>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二</w:t>
      </w:r>
      <w:r>
        <w:rPr>
          <w:rFonts w:ascii="Times New Roman" w:hAnsi="Times New Roman" w:eastAsia="仿宋_GB2312" w:cs="Times New Roman"/>
          <w:sz w:val="28"/>
          <w:szCs w:val="28"/>
        </w:rPr>
        <w:t>）奖励性绩效与考核结果挂钩。学科特区对学术团队和学术成员实行去留考核机制。学科特区对考核不合格的学术团队实行团队整体退出机制，对考核不合格的学术成员实行退出机制</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学术团队对考核不合格的团队成员实行退出机制。</w:t>
      </w:r>
    </w:p>
    <w:p>
      <w:pPr>
        <w:adjustRightInd w:val="0"/>
        <w:snapToGrid w:val="0"/>
        <w:spacing w:line="360" w:lineRule="auto"/>
        <w:ind w:firstLine="560" w:firstLineChars="200"/>
        <w:rPr>
          <w:rFonts w:ascii="Times New Roman" w:hAnsi="Times New Roman" w:eastAsia="仿宋_GB2312" w:cs="Times New Roman"/>
          <w:sz w:val="28"/>
          <w:szCs w:val="28"/>
        </w:rPr>
      </w:pPr>
    </w:p>
    <w:p>
      <w:pPr>
        <w:adjustRightInd w:val="0"/>
        <w:snapToGrid w:val="0"/>
        <w:spacing w:line="360" w:lineRule="auto"/>
        <w:ind w:firstLine="562" w:firstLineChars="200"/>
        <w:jc w:val="center"/>
        <w:rPr>
          <w:rFonts w:ascii="Times New Roman" w:hAnsi="Times New Roman" w:eastAsia="仿宋_GB2312" w:cs="Times New Roman"/>
          <w:b/>
          <w:sz w:val="28"/>
          <w:szCs w:val="28"/>
        </w:rPr>
      </w:pPr>
      <w:r>
        <w:rPr>
          <w:rFonts w:hint="eastAsia" w:ascii="Times New Roman" w:hAnsi="Times New Roman" w:eastAsia="仿宋_GB2312" w:cs="Times New Roman"/>
          <w:b/>
          <w:sz w:val="28"/>
          <w:szCs w:val="28"/>
        </w:rPr>
        <w:t>附表1</w:t>
      </w:r>
      <w:r>
        <w:rPr>
          <w:rFonts w:ascii="Times New Roman" w:hAnsi="Times New Roman" w:eastAsia="仿宋_GB2312" w:cs="Times New Roman"/>
          <w:b/>
          <w:sz w:val="28"/>
          <w:szCs w:val="28"/>
        </w:rPr>
        <w:t>学术团队考核目标任务表</w:t>
      </w:r>
    </w:p>
    <w:tbl>
      <w:tblPr>
        <w:tblStyle w:val="19"/>
        <w:tblW w:w="86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842"/>
        <w:gridCol w:w="1560"/>
        <w:gridCol w:w="2126"/>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adjustRightInd w:val="0"/>
              <w:snapToGrid w:val="0"/>
              <w:jc w:val="center"/>
              <w:rPr>
                <w:rFonts w:eastAsia="仿宋_GB2312" w:asciiTheme="minorHAnsi" w:hAnsiTheme="minorHAnsi" w:cstheme="minorBidi"/>
                <w:b/>
                <w:kern w:val="2"/>
                <w:sz w:val="24"/>
                <w:szCs w:val="24"/>
              </w:rPr>
            </w:pPr>
            <w:r>
              <w:rPr>
                <w:rFonts w:eastAsia="仿宋_GB2312" w:asciiTheme="minorHAnsi" w:hAnsiTheme="minorHAnsi" w:cstheme="minorBidi"/>
                <w:b/>
                <w:kern w:val="2"/>
                <w:sz w:val="24"/>
                <w:szCs w:val="24"/>
              </w:rPr>
              <w:t>类别</w:t>
            </w:r>
          </w:p>
        </w:tc>
        <w:tc>
          <w:tcPr>
            <w:tcW w:w="1842" w:type="dxa"/>
            <w:vAlign w:val="center"/>
          </w:tcPr>
          <w:p>
            <w:pPr>
              <w:adjustRightInd w:val="0"/>
              <w:snapToGrid w:val="0"/>
              <w:jc w:val="center"/>
              <w:rPr>
                <w:rFonts w:eastAsia="仿宋_GB2312" w:asciiTheme="minorHAnsi" w:hAnsiTheme="minorHAnsi" w:cstheme="minorBidi"/>
                <w:b/>
                <w:kern w:val="2"/>
                <w:sz w:val="24"/>
                <w:szCs w:val="24"/>
              </w:rPr>
            </w:pPr>
            <w:r>
              <w:rPr>
                <w:rFonts w:eastAsia="仿宋_GB2312" w:asciiTheme="minorHAnsi" w:hAnsiTheme="minorHAnsi" w:cstheme="minorBidi"/>
                <w:b/>
                <w:kern w:val="2"/>
                <w:sz w:val="24"/>
                <w:szCs w:val="24"/>
              </w:rPr>
              <w:t>考核内容</w:t>
            </w:r>
          </w:p>
        </w:tc>
        <w:tc>
          <w:tcPr>
            <w:tcW w:w="3686" w:type="dxa"/>
            <w:gridSpan w:val="2"/>
            <w:vAlign w:val="center"/>
          </w:tcPr>
          <w:p>
            <w:pPr>
              <w:adjustRightInd w:val="0"/>
              <w:snapToGrid w:val="0"/>
              <w:jc w:val="center"/>
              <w:rPr>
                <w:rFonts w:eastAsia="仿宋_GB2312" w:asciiTheme="minorHAnsi" w:hAnsiTheme="minorHAnsi" w:cstheme="minorBidi"/>
                <w:b/>
                <w:kern w:val="2"/>
                <w:sz w:val="24"/>
                <w:szCs w:val="24"/>
              </w:rPr>
            </w:pPr>
            <w:r>
              <w:rPr>
                <w:rFonts w:eastAsia="仿宋_GB2312" w:asciiTheme="minorHAnsi" w:hAnsiTheme="minorHAnsi" w:cstheme="minorBidi"/>
                <w:b/>
                <w:kern w:val="2"/>
                <w:sz w:val="24"/>
                <w:szCs w:val="24"/>
              </w:rPr>
              <w:t>完成数</w:t>
            </w:r>
          </w:p>
        </w:tc>
        <w:tc>
          <w:tcPr>
            <w:tcW w:w="2130" w:type="dxa"/>
            <w:vAlign w:val="center"/>
          </w:tcPr>
          <w:p>
            <w:pPr>
              <w:adjustRightInd w:val="0"/>
              <w:snapToGrid w:val="0"/>
              <w:jc w:val="center"/>
              <w:rPr>
                <w:rFonts w:eastAsia="仿宋_GB2312" w:asciiTheme="minorHAnsi" w:hAnsiTheme="minorHAnsi" w:cstheme="minorBidi"/>
                <w:b/>
                <w:kern w:val="2"/>
                <w:sz w:val="24"/>
                <w:szCs w:val="24"/>
              </w:rPr>
            </w:pPr>
            <w:r>
              <w:rPr>
                <w:rFonts w:eastAsia="仿宋_GB2312" w:asciiTheme="minorHAnsi" w:hAnsiTheme="minorHAnsi" w:cstheme="minorBidi"/>
                <w:b/>
                <w:kern w:val="2"/>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Merge w:val="restart"/>
            <w:vAlign w:val="center"/>
          </w:tcPr>
          <w:p>
            <w:pPr>
              <w:adjustRightInd w:val="0"/>
              <w:snapToGrid w:val="0"/>
              <w:jc w:val="center"/>
              <w:rPr>
                <w:rFonts w:eastAsia="仿宋_GB2312" w:asciiTheme="minorHAnsi" w:hAnsiTheme="minorHAnsi" w:cstheme="minorBidi"/>
                <w:kern w:val="2"/>
                <w:sz w:val="24"/>
                <w:szCs w:val="24"/>
              </w:rPr>
            </w:pPr>
            <w:r>
              <w:rPr>
                <w:rFonts w:eastAsia="仿宋_GB2312" w:asciiTheme="minorHAnsi" w:hAnsiTheme="minorHAnsi" w:cstheme="minorBidi"/>
                <w:kern w:val="2"/>
                <w:sz w:val="24"/>
                <w:szCs w:val="24"/>
              </w:rPr>
              <w:t>一般性指标</w:t>
            </w:r>
          </w:p>
        </w:tc>
        <w:tc>
          <w:tcPr>
            <w:tcW w:w="1842" w:type="dxa"/>
            <w:vAlign w:val="center"/>
          </w:tcPr>
          <w:p>
            <w:pPr>
              <w:adjustRightInd w:val="0"/>
              <w:snapToGrid w:val="0"/>
              <w:jc w:val="center"/>
              <w:rPr>
                <w:rFonts w:eastAsia="仿宋_GB2312" w:asciiTheme="minorHAnsi" w:hAnsiTheme="minorHAnsi" w:cstheme="minorBidi"/>
                <w:kern w:val="2"/>
                <w:sz w:val="24"/>
                <w:szCs w:val="24"/>
              </w:rPr>
            </w:pPr>
            <w:r>
              <w:rPr>
                <w:rFonts w:eastAsia="仿宋_GB2312" w:asciiTheme="minorHAnsi" w:hAnsiTheme="minorHAnsi" w:cstheme="minorBidi"/>
                <w:kern w:val="2"/>
                <w:sz w:val="24"/>
                <w:szCs w:val="24"/>
              </w:rPr>
              <w:t>国家级项目</w:t>
            </w:r>
          </w:p>
        </w:tc>
        <w:tc>
          <w:tcPr>
            <w:tcW w:w="3686" w:type="dxa"/>
            <w:gridSpan w:val="2"/>
            <w:vAlign w:val="center"/>
          </w:tcPr>
          <w:p>
            <w:pPr>
              <w:adjustRightInd w:val="0"/>
              <w:snapToGrid w:val="0"/>
              <w:jc w:val="center"/>
              <w:rPr>
                <w:rFonts w:eastAsia="仿宋_GB2312" w:asciiTheme="minorHAnsi" w:hAnsiTheme="minorHAnsi" w:cstheme="minorBidi"/>
                <w:kern w:val="2"/>
                <w:sz w:val="24"/>
                <w:szCs w:val="24"/>
              </w:rPr>
            </w:pPr>
            <w:r>
              <w:rPr>
                <w:rFonts w:eastAsia="仿宋_GB2312" w:asciiTheme="minorHAnsi" w:hAnsiTheme="minorHAnsi" w:cstheme="minorBidi"/>
                <w:kern w:val="2"/>
                <w:sz w:val="24"/>
                <w:szCs w:val="24"/>
              </w:rPr>
              <w:t>1项</w:t>
            </w:r>
            <w:r>
              <w:rPr>
                <w:rFonts w:hint="eastAsia" w:eastAsia="仿宋_GB2312" w:asciiTheme="minorHAnsi" w:hAnsiTheme="minorHAnsi" w:cstheme="minorBidi"/>
                <w:kern w:val="2"/>
                <w:sz w:val="24"/>
                <w:szCs w:val="24"/>
              </w:rPr>
              <w:t>/当量</w:t>
            </w:r>
          </w:p>
        </w:tc>
        <w:tc>
          <w:tcPr>
            <w:tcW w:w="2130" w:type="dxa"/>
            <w:vAlign w:val="center"/>
          </w:tcPr>
          <w:p>
            <w:pPr>
              <w:adjustRightInd w:val="0"/>
              <w:snapToGrid w:val="0"/>
              <w:jc w:val="both"/>
              <w:rPr>
                <w:rFonts w:eastAsia="仿宋_GB2312" w:asciiTheme="minorHAnsi" w:hAnsiTheme="minorHAnsi" w:cstheme="minorBidi"/>
                <w:kern w:val="2"/>
                <w:sz w:val="24"/>
                <w:szCs w:val="24"/>
              </w:rPr>
            </w:pPr>
            <w:r>
              <w:rPr>
                <w:rFonts w:hint="eastAsia" w:eastAsia="仿宋_GB2312" w:asciiTheme="minorHAnsi" w:hAnsiTheme="minorHAnsi" w:cstheme="minorBidi"/>
                <w:kern w:val="2"/>
                <w:sz w:val="24"/>
                <w:szCs w:val="24"/>
              </w:rPr>
              <w:t>聘期内新增，当量仅累计教师（含博士后）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jc w:val="center"/>
        </w:trPr>
        <w:tc>
          <w:tcPr>
            <w:tcW w:w="988" w:type="dxa"/>
            <w:vMerge w:val="continue"/>
            <w:vAlign w:val="center"/>
          </w:tcPr>
          <w:p>
            <w:pPr>
              <w:adjustRightInd w:val="0"/>
              <w:snapToGrid w:val="0"/>
              <w:jc w:val="center"/>
              <w:rPr>
                <w:rFonts w:eastAsia="仿宋_GB2312" w:asciiTheme="minorHAnsi" w:hAnsiTheme="minorHAnsi" w:cstheme="minorBidi"/>
                <w:kern w:val="2"/>
                <w:sz w:val="24"/>
                <w:szCs w:val="24"/>
              </w:rPr>
            </w:pPr>
          </w:p>
        </w:tc>
        <w:tc>
          <w:tcPr>
            <w:tcW w:w="1842" w:type="dxa"/>
            <w:vAlign w:val="center"/>
          </w:tcPr>
          <w:p>
            <w:pPr>
              <w:adjustRightInd w:val="0"/>
              <w:snapToGrid w:val="0"/>
              <w:jc w:val="center"/>
              <w:rPr>
                <w:rFonts w:eastAsia="仿宋_GB2312" w:asciiTheme="minorHAnsi" w:hAnsiTheme="minorHAnsi" w:cstheme="minorBidi"/>
                <w:kern w:val="2"/>
                <w:sz w:val="24"/>
                <w:szCs w:val="24"/>
              </w:rPr>
            </w:pPr>
            <w:r>
              <w:rPr>
                <w:rFonts w:hint="eastAsia" w:eastAsia="仿宋_GB2312" w:asciiTheme="minorHAnsi" w:hAnsiTheme="minorHAnsi" w:cstheme="minorBidi"/>
                <w:kern w:val="2"/>
                <w:sz w:val="24"/>
                <w:szCs w:val="24"/>
              </w:rPr>
              <w:t>SCI收录</w:t>
            </w:r>
            <w:r>
              <w:rPr>
                <w:rFonts w:eastAsia="仿宋_GB2312" w:asciiTheme="minorHAnsi" w:hAnsiTheme="minorHAnsi" w:cstheme="minorBidi"/>
                <w:kern w:val="2"/>
                <w:sz w:val="24"/>
                <w:szCs w:val="24"/>
              </w:rPr>
              <w:t>论文</w:t>
            </w:r>
          </w:p>
        </w:tc>
        <w:tc>
          <w:tcPr>
            <w:tcW w:w="1560" w:type="dxa"/>
            <w:vAlign w:val="center"/>
          </w:tcPr>
          <w:p>
            <w:pPr>
              <w:adjustRightInd w:val="0"/>
              <w:snapToGrid w:val="0"/>
              <w:jc w:val="center"/>
              <w:rPr>
                <w:rFonts w:eastAsia="仿宋_GB2312" w:asciiTheme="minorHAnsi" w:hAnsiTheme="minorHAnsi" w:cstheme="minorBidi"/>
                <w:kern w:val="2"/>
                <w:sz w:val="24"/>
                <w:szCs w:val="24"/>
              </w:rPr>
            </w:pPr>
            <w:r>
              <w:rPr>
                <w:rFonts w:eastAsia="仿宋_GB2312" w:asciiTheme="minorHAnsi" w:hAnsiTheme="minorHAnsi" w:cstheme="minorBidi"/>
                <w:kern w:val="2"/>
                <w:sz w:val="24"/>
                <w:szCs w:val="24"/>
              </w:rPr>
              <w:t>2</w:t>
            </w:r>
            <w:r>
              <w:rPr>
                <w:rFonts w:hint="eastAsia" w:eastAsia="仿宋_GB2312" w:asciiTheme="minorHAnsi" w:hAnsiTheme="minorHAnsi" w:cstheme="minorBidi"/>
                <w:kern w:val="2"/>
                <w:sz w:val="24"/>
                <w:szCs w:val="24"/>
              </w:rPr>
              <w:t>篇（其中1篇影响因子不低于3.0）</w:t>
            </w:r>
            <w:r>
              <w:rPr>
                <w:rFonts w:eastAsia="仿宋_GB2312" w:asciiTheme="minorHAnsi" w:hAnsiTheme="minorHAnsi" w:cstheme="minorBidi"/>
                <w:kern w:val="2"/>
                <w:sz w:val="24"/>
                <w:szCs w:val="24"/>
              </w:rPr>
              <w:t>/</w:t>
            </w:r>
            <w:r>
              <w:rPr>
                <w:rFonts w:hint="eastAsia" w:eastAsia="仿宋_GB2312" w:asciiTheme="minorHAnsi" w:hAnsiTheme="minorHAnsi" w:cstheme="minorBidi"/>
                <w:kern w:val="2"/>
                <w:sz w:val="24"/>
                <w:szCs w:val="24"/>
              </w:rPr>
              <w:t>当量/</w:t>
            </w:r>
            <w:r>
              <w:rPr>
                <w:rFonts w:eastAsia="仿宋_GB2312" w:asciiTheme="minorHAnsi" w:hAnsiTheme="minorHAnsi" w:cstheme="minorBidi"/>
                <w:kern w:val="2"/>
                <w:sz w:val="24"/>
                <w:szCs w:val="24"/>
              </w:rPr>
              <w:t>年</w:t>
            </w:r>
          </w:p>
        </w:tc>
        <w:tc>
          <w:tcPr>
            <w:tcW w:w="2126" w:type="dxa"/>
            <w:vAlign w:val="center"/>
          </w:tcPr>
          <w:p>
            <w:pPr>
              <w:adjustRightInd w:val="0"/>
              <w:snapToGrid w:val="0"/>
              <w:rPr>
                <w:rFonts w:eastAsia="仿宋_GB2312" w:asciiTheme="minorHAnsi" w:hAnsiTheme="minorHAnsi" w:cstheme="minorBidi"/>
                <w:kern w:val="2"/>
                <w:sz w:val="24"/>
                <w:szCs w:val="24"/>
              </w:rPr>
            </w:pPr>
            <w:r>
              <w:rPr>
                <w:rFonts w:eastAsia="仿宋_GB2312" w:asciiTheme="minorHAnsi" w:hAnsiTheme="minorHAnsi" w:cstheme="minorBidi"/>
                <w:kern w:val="2"/>
                <w:sz w:val="24"/>
                <w:szCs w:val="24"/>
              </w:rPr>
              <w:t>或影响因子大于5.0、一区论文0.5篇</w:t>
            </w:r>
            <w:r>
              <w:rPr>
                <w:rFonts w:hint="eastAsia" w:eastAsia="仿宋_GB2312" w:asciiTheme="minorHAnsi" w:hAnsiTheme="minorHAnsi" w:cstheme="minorBidi"/>
                <w:kern w:val="2"/>
                <w:sz w:val="24"/>
                <w:szCs w:val="24"/>
              </w:rPr>
              <w:t>/当量/年，或</w:t>
            </w:r>
            <w:r>
              <w:rPr>
                <w:rFonts w:eastAsia="仿宋_GB2312" w:asciiTheme="minorHAnsi" w:hAnsiTheme="minorHAnsi" w:cstheme="minorBidi"/>
                <w:kern w:val="2"/>
                <w:sz w:val="24"/>
                <w:szCs w:val="24"/>
              </w:rPr>
              <w:t>影响因子大于10.0的1篇</w:t>
            </w:r>
            <w:r>
              <w:rPr>
                <w:rFonts w:hint="eastAsia" w:eastAsia="仿宋_GB2312" w:asciiTheme="minorHAnsi" w:hAnsiTheme="minorHAnsi" w:cstheme="minorBidi"/>
                <w:kern w:val="2"/>
                <w:sz w:val="24"/>
                <w:szCs w:val="24"/>
              </w:rPr>
              <w:t>/当量/聘期</w:t>
            </w:r>
          </w:p>
        </w:tc>
        <w:tc>
          <w:tcPr>
            <w:tcW w:w="2130" w:type="dxa"/>
            <w:vAlign w:val="center"/>
          </w:tcPr>
          <w:p>
            <w:pPr>
              <w:adjustRightInd w:val="0"/>
              <w:snapToGrid w:val="0"/>
              <w:jc w:val="both"/>
              <w:rPr>
                <w:rFonts w:eastAsia="仿宋_GB2312" w:asciiTheme="minorHAnsi" w:hAnsiTheme="minorHAnsi" w:cstheme="minorBidi"/>
                <w:kern w:val="2"/>
                <w:sz w:val="24"/>
                <w:szCs w:val="24"/>
              </w:rPr>
            </w:pPr>
            <w:r>
              <w:rPr>
                <w:rFonts w:hint="eastAsia" w:eastAsia="仿宋_GB2312" w:asciiTheme="minorHAnsi" w:hAnsiTheme="minorHAnsi" w:cstheme="minorBidi"/>
                <w:kern w:val="2"/>
                <w:sz w:val="24"/>
                <w:szCs w:val="24"/>
              </w:rPr>
              <w:t>当量含教师、博士后、博硕士生，</w:t>
            </w:r>
            <w:r>
              <w:rPr>
                <w:rFonts w:hint="eastAsia" w:ascii="仿宋_GB2312" w:eastAsia="仿宋_GB2312" w:hAnsiTheme="minorHAnsi" w:cstheme="minorBidi"/>
                <w:kern w:val="2"/>
                <w:sz w:val="24"/>
                <w:szCs w:val="24"/>
              </w:rPr>
              <w:t xml:space="preserve"> N</w:t>
            </w:r>
            <w:r>
              <w:rPr>
                <w:rFonts w:ascii="仿宋_GB2312" w:eastAsia="仿宋_GB2312" w:hAnsiTheme="minorHAnsi" w:cstheme="minorBidi"/>
                <w:kern w:val="2"/>
                <w:sz w:val="24"/>
                <w:szCs w:val="24"/>
              </w:rPr>
              <w:t>I论文</w:t>
            </w:r>
            <w:r>
              <w:rPr>
                <w:rFonts w:hint="eastAsia" w:ascii="仿宋_GB2312" w:eastAsia="仿宋_GB2312" w:hAnsiTheme="minorHAnsi" w:cstheme="minorBidi"/>
                <w:kern w:val="2"/>
                <w:sz w:val="24"/>
                <w:szCs w:val="24"/>
              </w:rPr>
              <w:t>、高被引论文、</w:t>
            </w:r>
            <w:r>
              <w:rPr>
                <w:rFonts w:ascii="仿宋_GB2312" w:eastAsia="仿宋_GB2312" w:hAnsiTheme="minorHAnsi" w:cstheme="minorBidi"/>
                <w:kern w:val="2"/>
                <w:sz w:val="24"/>
                <w:szCs w:val="24"/>
              </w:rPr>
              <w:t>热点论文等同一区论文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988" w:type="dxa"/>
            <w:vMerge w:val="restart"/>
            <w:vAlign w:val="center"/>
          </w:tcPr>
          <w:p>
            <w:pPr>
              <w:adjustRightInd w:val="0"/>
              <w:snapToGrid w:val="0"/>
              <w:jc w:val="center"/>
              <w:rPr>
                <w:rFonts w:hint="eastAsia" w:eastAsia="仿宋_GB2312" w:asciiTheme="minorHAnsi" w:hAnsiTheme="minorHAnsi" w:cstheme="minorBidi"/>
                <w:kern w:val="2"/>
                <w:sz w:val="24"/>
                <w:szCs w:val="24"/>
              </w:rPr>
            </w:pPr>
            <w:r>
              <w:rPr>
                <w:rFonts w:hint="eastAsia" w:eastAsia="仿宋_GB2312" w:asciiTheme="minorHAnsi" w:hAnsiTheme="minorHAnsi" w:cstheme="minorBidi"/>
                <w:kern w:val="2"/>
                <w:sz w:val="24"/>
                <w:szCs w:val="24"/>
              </w:rPr>
              <w:t>重大</w:t>
            </w:r>
          </w:p>
          <w:p>
            <w:pPr>
              <w:adjustRightInd w:val="0"/>
              <w:snapToGrid w:val="0"/>
              <w:jc w:val="center"/>
              <w:rPr>
                <w:rFonts w:eastAsia="仿宋_GB2312" w:asciiTheme="minorHAnsi" w:hAnsiTheme="minorHAnsi" w:cstheme="minorBidi"/>
                <w:kern w:val="2"/>
                <w:sz w:val="24"/>
                <w:szCs w:val="24"/>
              </w:rPr>
            </w:pPr>
            <w:r>
              <w:rPr>
                <w:rFonts w:eastAsia="仿宋_GB2312" w:asciiTheme="minorHAnsi" w:hAnsiTheme="minorHAnsi" w:cstheme="minorBidi"/>
                <w:kern w:val="2"/>
                <w:sz w:val="24"/>
                <w:szCs w:val="24"/>
              </w:rPr>
              <w:t>标志性成果</w:t>
            </w:r>
          </w:p>
        </w:tc>
        <w:tc>
          <w:tcPr>
            <w:tcW w:w="1842" w:type="dxa"/>
            <w:vAlign w:val="center"/>
          </w:tcPr>
          <w:p>
            <w:pPr>
              <w:adjustRightInd w:val="0"/>
              <w:snapToGrid w:val="0"/>
              <w:jc w:val="center"/>
              <w:rPr>
                <w:rFonts w:eastAsia="仿宋_GB2312" w:asciiTheme="minorHAnsi" w:hAnsiTheme="minorHAnsi" w:cstheme="minorBidi"/>
                <w:kern w:val="2"/>
                <w:sz w:val="24"/>
                <w:szCs w:val="24"/>
              </w:rPr>
            </w:pPr>
            <w:r>
              <w:rPr>
                <w:rFonts w:eastAsia="仿宋_GB2312" w:asciiTheme="minorHAnsi" w:hAnsiTheme="minorHAnsi" w:cstheme="minorBidi"/>
                <w:kern w:val="2"/>
                <w:sz w:val="24"/>
                <w:szCs w:val="24"/>
              </w:rPr>
              <w:t>科研获奖</w:t>
            </w:r>
            <w:r>
              <w:rPr>
                <w:rFonts w:eastAsia="仿宋_GB2312" w:asciiTheme="minorHAnsi" w:hAnsiTheme="minorHAnsi" w:cstheme="minorBidi"/>
                <w:kern w:val="2"/>
                <w:sz w:val="24"/>
                <w:szCs w:val="24"/>
                <w:vertAlign w:val="superscript"/>
              </w:rPr>
              <w:footnoteReference w:id="0"/>
            </w:r>
          </w:p>
        </w:tc>
        <w:tc>
          <w:tcPr>
            <w:tcW w:w="3686" w:type="dxa"/>
            <w:gridSpan w:val="2"/>
            <w:vAlign w:val="center"/>
          </w:tcPr>
          <w:p>
            <w:pPr>
              <w:adjustRightInd w:val="0"/>
              <w:snapToGrid w:val="0"/>
              <w:jc w:val="center"/>
              <w:rPr>
                <w:rFonts w:eastAsia="仿宋_GB2312" w:asciiTheme="minorHAnsi" w:hAnsiTheme="minorHAnsi" w:cstheme="minorBidi"/>
                <w:kern w:val="2"/>
                <w:sz w:val="24"/>
                <w:szCs w:val="24"/>
              </w:rPr>
            </w:pPr>
            <w:r>
              <w:rPr>
                <w:rFonts w:eastAsia="仿宋_GB2312" w:asciiTheme="minorHAnsi" w:hAnsiTheme="minorHAnsi" w:cstheme="minorBidi"/>
                <w:kern w:val="2"/>
                <w:sz w:val="24"/>
                <w:szCs w:val="24"/>
              </w:rPr>
              <w:t>1项</w:t>
            </w:r>
          </w:p>
        </w:tc>
        <w:tc>
          <w:tcPr>
            <w:tcW w:w="2130" w:type="dxa"/>
            <w:vMerge w:val="restart"/>
            <w:vAlign w:val="center"/>
          </w:tcPr>
          <w:p>
            <w:pPr>
              <w:adjustRightInd w:val="0"/>
              <w:snapToGrid w:val="0"/>
              <w:rPr>
                <w:rFonts w:eastAsia="仿宋_GB2312" w:asciiTheme="minorHAnsi" w:hAnsiTheme="minorHAnsi" w:cstheme="minorBidi"/>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988" w:type="dxa"/>
            <w:vMerge w:val="continue"/>
            <w:vAlign w:val="center"/>
          </w:tcPr>
          <w:p>
            <w:pPr>
              <w:adjustRightInd w:val="0"/>
              <w:snapToGrid w:val="0"/>
              <w:jc w:val="center"/>
              <w:rPr>
                <w:rFonts w:eastAsia="仿宋_GB2312" w:asciiTheme="minorHAnsi" w:hAnsiTheme="minorHAnsi" w:cstheme="minorBidi"/>
                <w:kern w:val="2"/>
                <w:sz w:val="24"/>
                <w:szCs w:val="24"/>
              </w:rPr>
            </w:pPr>
          </w:p>
        </w:tc>
        <w:tc>
          <w:tcPr>
            <w:tcW w:w="1842" w:type="dxa"/>
            <w:vAlign w:val="center"/>
          </w:tcPr>
          <w:p>
            <w:pPr>
              <w:adjustRightInd w:val="0"/>
              <w:snapToGrid w:val="0"/>
              <w:jc w:val="center"/>
              <w:rPr>
                <w:rFonts w:eastAsia="仿宋_GB2312" w:asciiTheme="minorHAnsi" w:hAnsiTheme="minorHAnsi" w:cstheme="minorBidi"/>
                <w:kern w:val="2"/>
                <w:sz w:val="24"/>
                <w:szCs w:val="24"/>
              </w:rPr>
            </w:pPr>
            <w:r>
              <w:rPr>
                <w:rFonts w:hint="eastAsia" w:eastAsia="仿宋_GB2312" w:asciiTheme="minorHAnsi" w:hAnsiTheme="minorHAnsi" w:cstheme="minorBidi"/>
                <w:kern w:val="2"/>
                <w:sz w:val="24"/>
                <w:szCs w:val="24"/>
              </w:rPr>
              <w:t>顶级论文</w:t>
            </w:r>
            <w:r>
              <w:rPr>
                <w:rFonts w:eastAsia="仿宋_GB2312" w:asciiTheme="minorHAnsi" w:hAnsiTheme="minorHAnsi" w:cstheme="minorBidi"/>
                <w:kern w:val="2"/>
                <w:sz w:val="24"/>
                <w:szCs w:val="24"/>
                <w:vertAlign w:val="superscript"/>
              </w:rPr>
              <w:footnoteReference w:id="1"/>
            </w:r>
          </w:p>
        </w:tc>
        <w:tc>
          <w:tcPr>
            <w:tcW w:w="3686" w:type="dxa"/>
            <w:gridSpan w:val="2"/>
            <w:vAlign w:val="center"/>
          </w:tcPr>
          <w:p>
            <w:pPr>
              <w:adjustRightInd w:val="0"/>
              <w:snapToGrid w:val="0"/>
              <w:jc w:val="center"/>
              <w:rPr>
                <w:rFonts w:eastAsia="仿宋_GB2312" w:asciiTheme="minorHAnsi" w:hAnsiTheme="minorHAnsi" w:cstheme="minorBidi"/>
                <w:kern w:val="2"/>
                <w:sz w:val="24"/>
                <w:szCs w:val="24"/>
              </w:rPr>
            </w:pPr>
            <w:r>
              <w:rPr>
                <w:rFonts w:eastAsia="仿宋_GB2312" w:asciiTheme="minorHAnsi" w:hAnsiTheme="minorHAnsi" w:cstheme="minorBidi"/>
                <w:kern w:val="2"/>
                <w:sz w:val="24"/>
                <w:szCs w:val="24"/>
              </w:rPr>
              <w:t>1</w:t>
            </w:r>
            <w:r>
              <w:rPr>
                <w:rFonts w:hint="eastAsia" w:eastAsia="仿宋_GB2312" w:asciiTheme="minorHAnsi" w:hAnsiTheme="minorHAnsi" w:cstheme="minorBidi"/>
                <w:kern w:val="2"/>
                <w:sz w:val="24"/>
                <w:szCs w:val="24"/>
              </w:rPr>
              <w:t>篇</w:t>
            </w:r>
          </w:p>
        </w:tc>
        <w:tc>
          <w:tcPr>
            <w:tcW w:w="2130" w:type="dxa"/>
            <w:vMerge w:val="continue"/>
            <w:vAlign w:val="center"/>
          </w:tcPr>
          <w:p>
            <w:pPr>
              <w:adjustRightInd w:val="0"/>
              <w:snapToGrid w:val="0"/>
              <w:rPr>
                <w:rFonts w:eastAsia="仿宋_GB2312" w:asciiTheme="minorHAnsi" w:hAnsiTheme="minorHAnsi" w:cstheme="minorBidi"/>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988" w:type="dxa"/>
            <w:vMerge w:val="continue"/>
          </w:tcPr>
          <w:p>
            <w:pPr>
              <w:adjustRightInd w:val="0"/>
              <w:snapToGrid w:val="0"/>
              <w:rPr>
                <w:rFonts w:eastAsia="仿宋_GB2312" w:asciiTheme="minorHAnsi" w:hAnsiTheme="minorHAnsi" w:cstheme="minorBidi"/>
                <w:kern w:val="2"/>
                <w:sz w:val="24"/>
                <w:szCs w:val="24"/>
              </w:rPr>
            </w:pPr>
          </w:p>
        </w:tc>
        <w:tc>
          <w:tcPr>
            <w:tcW w:w="1842" w:type="dxa"/>
            <w:vAlign w:val="center"/>
          </w:tcPr>
          <w:p>
            <w:pPr>
              <w:adjustRightInd w:val="0"/>
              <w:snapToGrid w:val="0"/>
              <w:jc w:val="center"/>
              <w:rPr>
                <w:rFonts w:eastAsia="仿宋_GB2312" w:asciiTheme="minorHAnsi" w:hAnsiTheme="minorHAnsi" w:cstheme="minorBidi"/>
                <w:kern w:val="2"/>
                <w:sz w:val="24"/>
                <w:szCs w:val="24"/>
              </w:rPr>
            </w:pPr>
            <w:r>
              <w:rPr>
                <w:rFonts w:eastAsia="仿宋_GB2312" w:asciiTheme="minorHAnsi" w:hAnsiTheme="minorHAnsi" w:cstheme="minorBidi"/>
                <w:kern w:val="2"/>
                <w:sz w:val="24"/>
                <w:szCs w:val="24"/>
              </w:rPr>
              <w:t>创新团队</w:t>
            </w:r>
            <w:r>
              <w:rPr>
                <w:rFonts w:eastAsia="仿宋_GB2312" w:asciiTheme="minorHAnsi" w:hAnsiTheme="minorHAnsi" w:cstheme="minorBidi"/>
                <w:kern w:val="2"/>
                <w:sz w:val="24"/>
                <w:szCs w:val="24"/>
                <w:vertAlign w:val="superscript"/>
              </w:rPr>
              <w:footnoteReference w:id="2"/>
            </w:r>
          </w:p>
        </w:tc>
        <w:tc>
          <w:tcPr>
            <w:tcW w:w="3686" w:type="dxa"/>
            <w:gridSpan w:val="2"/>
            <w:vAlign w:val="center"/>
          </w:tcPr>
          <w:p>
            <w:pPr>
              <w:adjustRightInd w:val="0"/>
              <w:snapToGrid w:val="0"/>
              <w:jc w:val="center"/>
              <w:rPr>
                <w:rFonts w:eastAsia="仿宋_GB2312" w:asciiTheme="minorHAnsi" w:hAnsiTheme="minorHAnsi" w:cstheme="minorBidi"/>
                <w:kern w:val="2"/>
                <w:sz w:val="24"/>
                <w:szCs w:val="24"/>
              </w:rPr>
            </w:pPr>
            <w:r>
              <w:rPr>
                <w:rFonts w:eastAsia="仿宋_GB2312" w:asciiTheme="minorHAnsi" w:hAnsiTheme="minorHAnsi" w:cstheme="minorBidi"/>
                <w:kern w:val="2"/>
                <w:sz w:val="24"/>
                <w:szCs w:val="24"/>
              </w:rPr>
              <w:t>1个</w:t>
            </w:r>
          </w:p>
        </w:tc>
        <w:tc>
          <w:tcPr>
            <w:tcW w:w="2130" w:type="dxa"/>
            <w:vMerge w:val="continue"/>
          </w:tcPr>
          <w:p>
            <w:pPr>
              <w:adjustRightInd w:val="0"/>
              <w:snapToGrid w:val="0"/>
              <w:rPr>
                <w:rFonts w:eastAsia="仿宋_GB2312" w:asciiTheme="minorHAnsi" w:hAnsiTheme="minorHAnsi" w:cstheme="minorBidi"/>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988" w:type="dxa"/>
            <w:vMerge w:val="continue"/>
          </w:tcPr>
          <w:p>
            <w:pPr>
              <w:adjustRightInd w:val="0"/>
              <w:snapToGrid w:val="0"/>
              <w:rPr>
                <w:rFonts w:eastAsia="仿宋_GB2312" w:asciiTheme="minorHAnsi" w:hAnsiTheme="minorHAnsi" w:cstheme="minorBidi"/>
                <w:kern w:val="2"/>
                <w:sz w:val="24"/>
                <w:szCs w:val="24"/>
              </w:rPr>
            </w:pPr>
          </w:p>
        </w:tc>
        <w:tc>
          <w:tcPr>
            <w:tcW w:w="1842" w:type="dxa"/>
            <w:vAlign w:val="center"/>
          </w:tcPr>
          <w:p>
            <w:pPr>
              <w:adjustRightInd w:val="0"/>
              <w:snapToGrid w:val="0"/>
              <w:jc w:val="center"/>
              <w:rPr>
                <w:rFonts w:eastAsia="仿宋_GB2312" w:asciiTheme="minorHAnsi" w:hAnsiTheme="minorHAnsi" w:cstheme="minorBidi"/>
                <w:kern w:val="2"/>
                <w:sz w:val="24"/>
                <w:szCs w:val="24"/>
              </w:rPr>
            </w:pPr>
            <w:r>
              <w:rPr>
                <w:rFonts w:eastAsia="仿宋_GB2312" w:asciiTheme="minorHAnsi" w:hAnsiTheme="minorHAnsi" w:cstheme="minorBidi"/>
                <w:kern w:val="2"/>
                <w:sz w:val="24"/>
                <w:szCs w:val="24"/>
              </w:rPr>
              <w:t>教学获奖</w:t>
            </w:r>
            <w:r>
              <w:rPr>
                <w:rFonts w:eastAsia="仿宋_GB2312" w:asciiTheme="minorHAnsi" w:hAnsiTheme="minorHAnsi" w:cstheme="minorBidi"/>
                <w:kern w:val="2"/>
                <w:sz w:val="24"/>
                <w:szCs w:val="24"/>
                <w:vertAlign w:val="superscript"/>
              </w:rPr>
              <w:footnoteReference w:id="3"/>
            </w:r>
          </w:p>
        </w:tc>
        <w:tc>
          <w:tcPr>
            <w:tcW w:w="3686" w:type="dxa"/>
            <w:gridSpan w:val="2"/>
            <w:vAlign w:val="center"/>
          </w:tcPr>
          <w:p>
            <w:pPr>
              <w:adjustRightInd w:val="0"/>
              <w:snapToGrid w:val="0"/>
              <w:jc w:val="center"/>
              <w:rPr>
                <w:rFonts w:eastAsia="仿宋_GB2312" w:asciiTheme="minorHAnsi" w:hAnsiTheme="minorHAnsi" w:cstheme="minorBidi"/>
                <w:kern w:val="2"/>
                <w:sz w:val="24"/>
                <w:szCs w:val="24"/>
              </w:rPr>
            </w:pPr>
            <w:r>
              <w:rPr>
                <w:rFonts w:eastAsia="仿宋_GB2312" w:asciiTheme="minorHAnsi" w:hAnsiTheme="minorHAnsi" w:cstheme="minorBidi"/>
                <w:kern w:val="2"/>
                <w:sz w:val="24"/>
                <w:szCs w:val="24"/>
              </w:rPr>
              <w:t>1项</w:t>
            </w:r>
          </w:p>
        </w:tc>
        <w:tc>
          <w:tcPr>
            <w:tcW w:w="2130" w:type="dxa"/>
            <w:vMerge w:val="continue"/>
          </w:tcPr>
          <w:p>
            <w:pPr>
              <w:adjustRightInd w:val="0"/>
              <w:snapToGrid w:val="0"/>
              <w:rPr>
                <w:rFonts w:eastAsia="仿宋_GB2312" w:asciiTheme="minorHAnsi" w:hAnsiTheme="minorHAnsi" w:cstheme="minorBidi"/>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988" w:type="dxa"/>
            <w:vMerge w:val="continue"/>
          </w:tcPr>
          <w:p>
            <w:pPr>
              <w:adjustRightInd w:val="0"/>
              <w:snapToGrid w:val="0"/>
              <w:rPr>
                <w:rFonts w:eastAsia="仿宋_GB2312" w:asciiTheme="minorHAnsi" w:hAnsiTheme="minorHAnsi" w:cstheme="minorBidi"/>
                <w:kern w:val="2"/>
                <w:sz w:val="24"/>
                <w:szCs w:val="24"/>
              </w:rPr>
            </w:pPr>
          </w:p>
        </w:tc>
        <w:tc>
          <w:tcPr>
            <w:tcW w:w="1842" w:type="dxa"/>
            <w:vAlign w:val="center"/>
          </w:tcPr>
          <w:p>
            <w:pPr>
              <w:adjustRightInd w:val="0"/>
              <w:snapToGrid w:val="0"/>
              <w:jc w:val="center"/>
              <w:rPr>
                <w:rFonts w:eastAsia="仿宋_GB2312" w:asciiTheme="minorHAnsi" w:hAnsiTheme="minorHAnsi" w:cstheme="minorBidi"/>
                <w:kern w:val="2"/>
                <w:sz w:val="24"/>
                <w:szCs w:val="24"/>
              </w:rPr>
            </w:pPr>
            <w:r>
              <w:rPr>
                <w:rFonts w:eastAsia="仿宋_GB2312" w:asciiTheme="minorHAnsi" w:hAnsiTheme="minorHAnsi" w:cstheme="minorBidi"/>
                <w:kern w:val="2"/>
                <w:sz w:val="24"/>
                <w:szCs w:val="24"/>
              </w:rPr>
              <w:t>教学团队</w:t>
            </w:r>
            <w:r>
              <w:rPr>
                <w:rFonts w:eastAsia="仿宋_GB2312" w:asciiTheme="minorHAnsi" w:hAnsiTheme="minorHAnsi" w:cstheme="minorBidi"/>
                <w:kern w:val="2"/>
                <w:sz w:val="24"/>
                <w:szCs w:val="24"/>
                <w:vertAlign w:val="superscript"/>
              </w:rPr>
              <w:footnoteReference w:id="4"/>
            </w:r>
          </w:p>
        </w:tc>
        <w:tc>
          <w:tcPr>
            <w:tcW w:w="3686" w:type="dxa"/>
            <w:gridSpan w:val="2"/>
            <w:vAlign w:val="center"/>
          </w:tcPr>
          <w:p>
            <w:pPr>
              <w:adjustRightInd w:val="0"/>
              <w:snapToGrid w:val="0"/>
              <w:jc w:val="center"/>
              <w:rPr>
                <w:rFonts w:eastAsia="仿宋_GB2312" w:asciiTheme="minorHAnsi" w:hAnsiTheme="minorHAnsi" w:cstheme="minorBidi"/>
                <w:kern w:val="2"/>
                <w:sz w:val="24"/>
                <w:szCs w:val="24"/>
              </w:rPr>
            </w:pPr>
            <w:r>
              <w:rPr>
                <w:rFonts w:eastAsia="仿宋_GB2312" w:asciiTheme="minorHAnsi" w:hAnsiTheme="minorHAnsi" w:cstheme="minorBidi"/>
                <w:kern w:val="2"/>
                <w:sz w:val="24"/>
                <w:szCs w:val="24"/>
              </w:rPr>
              <w:t>1个</w:t>
            </w:r>
          </w:p>
        </w:tc>
        <w:tc>
          <w:tcPr>
            <w:tcW w:w="2130" w:type="dxa"/>
            <w:vMerge w:val="continue"/>
          </w:tcPr>
          <w:p>
            <w:pPr>
              <w:adjustRightInd w:val="0"/>
              <w:snapToGrid w:val="0"/>
              <w:rPr>
                <w:rFonts w:eastAsia="仿宋_GB2312" w:asciiTheme="minorHAnsi" w:hAnsiTheme="minorHAnsi" w:cstheme="minorBidi"/>
                <w:kern w:val="2"/>
                <w:sz w:val="24"/>
                <w:szCs w:val="24"/>
              </w:rPr>
            </w:pPr>
          </w:p>
        </w:tc>
      </w:tr>
    </w:tbl>
    <w:p>
      <w:pPr>
        <w:adjustRightInd w:val="0"/>
        <w:snapToGrid w:val="0"/>
        <w:rPr>
          <w:rFonts w:ascii="Times New Roman" w:hAnsi="Times New Roman" w:eastAsia="仿宋_GB2312" w:cs="Times New Roman"/>
          <w:szCs w:val="24"/>
        </w:rPr>
      </w:pPr>
      <w:r>
        <w:rPr>
          <w:rFonts w:hint="eastAsia" w:ascii="Times New Roman" w:hAnsi="Times New Roman" w:eastAsia="仿宋_GB2312" w:cs="Times New Roman"/>
          <w:szCs w:val="24"/>
        </w:rPr>
        <w:t>注：1.1名教师=1当量，1名博士后=1当量，1名博士生=0.8当量，1名学术型硕士生=0.25当量。</w:t>
      </w:r>
    </w:p>
    <w:p>
      <w:pPr>
        <w:adjustRightInd w:val="0"/>
        <w:snapToGrid w:val="0"/>
        <w:ind w:firstLine="420" w:firstLineChars="200"/>
        <w:rPr>
          <w:rFonts w:ascii="仿宋_GB2312" w:hAnsi="Times New Roman" w:eastAsia="仿宋_GB2312" w:cs="Times New Roman"/>
          <w:szCs w:val="24"/>
        </w:rPr>
      </w:pPr>
      <w:r>
        <w:rPr>
          <w:rFonts w:hint="eastAsia" w:ascii="Times New Roman" w:hAnsi="Times New Roman" w:eastAsia="仿宋_GB2312" w:cs="Times New Roman"/>
          <w:szCs w:val="24"/>
        </w:rPr>
        <w:t>2.一般性指标的新增国家级项目、发表论文及影响因子总数全部完成方为合格，完成重大标志性成果中任意1项（或其他相当成果）抵扣5个当量的聘期任务。</w:t>
      </w:r>
    </w:p>
    <w:p>
      <w:pPr>
        <w:adjustRightInd w:val="0"/>
        <w:snapToGrid w:val="0"/>
        <w:ind w:firstLine="420" w:firstLineChars="200"/>
        <w:rPr>
          <w:rFonts w:hint="eastAsia" w:ascii="Times New Roman" w:hAnsi="Times New Roman" w:eastAsia="仿宋_GB2312" w:cs="Times New Roman"/>
          <w:szCs w:val="24"/>
        </w:rPr>
      </w:pPr>
      <w:r>
        <w:rPr>
          <w:rFonts w:hint="eastAsia" w:ascii="Times New Roman" w:hAnsi="Times New Roman" w:eastAsia="仿宋_GB2312" w:cs="Times New Roman"/>
          <w:szCs w:val="24"/>
        </w:rPr>
        <w:t>3.所有成果只认定第一完成单位为本校的，同一成果仅累计一次。</w:t>
      </w:r>
    </w:p>
    <w:p>
      <w:pPr>
        <w:adjustRightInd w:val="0"/>
        <w:snapToGrid w:val="0"/>
        <w:rPr>
          <w:rFonts w:ascii="Times New Roman" w:hAnsi="Times New Roman" w:eastAsia="仿宋_GB2312" w:cs="Times New Roman"/>
          <w:sz w:val="32"/>
          <w:szCs w:val="32"/>
        </w:rPr>
      </w:pPr>
    </w:p>
    <w:p>
      <w:pPr>
        <w:adjustRightInd w:val="0"/>
        <w:snapToGrid w:val="0"/>
        <w:spacing w:line="360" w:lineRule="auto"/>
        <w:ind w:firstLine="562" w:firstLineChars="200"/>
        <w:jc w:val="center"/>
        <w:rPr>
          <w:rFonts w:ascii="Times New Roman" w:hAnsi="Times New Roman" w:eastAsia="仿宋_GB2312" w:cs="Times New Roman"/>
          <w:b/>
          <w:sz w:val="28"/>
          <w:szCs w:val="28"/>
        </w:rPr>
      </w:pPr>
      <w:bookmarkStart w:id="0" w:name="_GoBack"/>
      <w:bookmarkEnd w:id="0"/>
    </w:p>
    <w:p>
      <w:pPr>
        <w:adjustRightInd w:val="0"/>
        <w:snapToGrid w:val="0"/>
        <w:spacing w:line="360" w:lineRule="auto"/>
        <w:ind w:firstLine="562" w:firstLineChars="200"/>
        <w:jc w:val="center"/>
        <w:rPr>
          <w:rFonts w:ascii="Times New Roman" w:hAnsi="Times New Roman" w:eastAsia="仿宋_GB2312" w:cs="Times New Roman"/>
          <w:b/>
          <w:sz w:val="28"/>
          <w:szCs w:val="28"/>
        </w:rPr>
      </w:pPr>
    </w:p>
    <w:p>
      <w:pPr>
        <w:adjustRightInd w:val="0"/>
        <w:snapToGrid w:val="0"/>
        <w:spacing w:line="360" w:lineRule="auto"/>
        <w:ind w:firstLine="562" w:firstLineChars="200"/>
        <w:jc w:val="center"/>
        <w:rPr>
          <w:rFonts w:ascii="Times New Roman" w:hAnsi="Times New Roman" w:eastAsia="仿宋_GB2312" w:cs="Times New Roman"/>
          <w:b/>
          <w:sz w:val="28"/>
          <w:szCs w:val="28"/>
        </w:rPr>
      </w:pPr>
      <w:r>
        <w:rPr>
          <w:rFonts w:hint="eastAsia" w:ascii="Times New Roman" w:hAnsi="Times New Roman" w:eastAsia="仿宋_GB2312" w:cs="Times New Roman"/>
          <w:b/>
          <w:sz w:val="28"/>
          <w:szCs w:val="28"/>
        </w:rPr>
        <w:t>附表</w:t>
      </w:r>
      <w:r>
        <w:rPr>
          <w:rFonts w:ascii="Times New Roman" w:hAnsi="Times New Roman" w:eastAsia="仿宋_GB2312" w:cs="Times New Roman"/>
          <w:b/>
          <w:sz w:val="28"/>
          <w:szCs w:val="28"/>
        </w:rPr>
        <w:t>2学术成员考核目标任务表</w:t>
      </w:r>
    </w:p>
    <w:tbl>
      <w:tblPr>
        <w:tblStyle w:val="19"/>
        <w:tblW w:w="86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417"/>
        <w:gridCol w:w="1590"/>
        <w:gridCol w:w="2268"/>
        <w:gridCol w:w="2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adjustRightInd w:val="0"/>
              <w:snapToGrid w:val="0"/>
              <w:jc w:val="center"/>
              <w:rPr>
                <w:rFonts w:eastAsia="仿宋_GB2312" w:asciiTheme="minorHAnsi" w:hAnsiTheme="minorHAnsi" w:cstheme="minorBidi"/>
                <w:b/>
                <w:kern w:val="2"/>
                <w:sz w:val="24"/>
                <w:szCs w:val="24"/>
              </w:rPr>
            </w:pPr>
            <w:r>
              <w:rPr>
                <w:rFonts w:eastAsia="仿宋_GB2312" w:asciiTheme="minorHAnsi" w:hAnsiTheme="minorHAnsi" w:cstheme="minorBidi"/>
                <w:b/>
                <w:kern w:val="2"/>
                <w:sz w:val="24"/>
                <w:szCs w:val="24"/>
              </w:rPr>
              <w:t>类别</w:t>
            </w:r>
          </w:p>
        </w:tc>
        <w:tc>
          <w:tcPr>
            <w:tcW w:w="1417" w:type="dxa"/>
            <w:vAlign w:val="center"/>
          </w:tcPr>
          <w:p>
            <w:pPr>
              <w:adjustRightInd w:val="0"/>
              <w:snapToGrid w:val="0"/>
              <w:jc w:val="center"/>
              <w:rPr>
                <w:rFonts w:eastAsia="仿宋_GB2312" w:asciiTheme="minorHAnsi" w:hAnsiTheme="minorHAnsi" w:cstheme="minorBidi"/>
                <w:b/>
                <w:kern w:val="2"/>
                <w:sz w:val="24"/>
                <w:szCs w:val="24"/>
              </w:rPr>
            </w:pPr>
            <w:r>
              <w:rPr>
                <w:rFonts w:eastAsia="仿宋_GB2312" w:asciiTheme="minorHAnsi" w:hAnsiTheme="minorHAnsi" w:cstheme="minorBidi"/>
                <w:b/>
                <w:kern w:val="2"/>
                <w:sz w:val="24"/>
                <w:szCs w:val="24"/>
              </w:rPr>
              <w:t>考核内容</w:t>
            </w:r>
          </w:p>
        </w:tc>
        <w:tc>
          <w:tcPr>
            <w:tcW w:w="3858" w:type="dxa"/>
            <w:gridSpan w:val="2"/>
            <w:vAlign w:val="center"/>
          </w:tcPr>
          <w:p>
            <w:pPr>
              <w:adjustRightInd w:val="0"/>
              <w:snapToGrid w:val="0"/>
              <w:jc w:val="center"/>
              <w:rPr>
                <w:rFonts w:eastAsia="仿宋_GB2312" w:asciiTheme="minorHAnsi" w:hAnsiTheme="minorHAnsi" w:cstheme="minorBidi"/>
                <w:b/>
                <w:kern w:val="2"/>
                <w:sz w:val="24"/>
                <w:szCs w:val="24"/>
              </w:rPr>
            </w:pPr>
            <w:r>
              <w:rPr>
                <w:rFonts w:eastAsia="仿宋_GB2312" w:asciiTheme="minorHAnsi" w:hAnsiTheme="minorHAnsi" w:cstheme="minorBidi"/>
                <w:b/>
                <w:kern w:val="2"/>
                <w:sz w:val="24"/>
                <w:szCs w:val="24"/>
              </w:rPr>
              <w:t>完成数</w:t>
            </w:r>
          </w:p>
        </w:tc>
        <w:tc>
          <w:tcPr>
            <w:tcW w:w="2383" w:type="dxa"/>
            <w:vAlign w:val="center"/>
          </w:tcPr>
          <w:p>
            <w:pPr>
              <w:adjustRightInd w:val="0"/>
              <w:snapToGrid w:val="0"/>
              <w:jc w:val="center"/>
              <w:rPr>
                <w:rFonts w:eastAsia="仿宋_GB2312" w:asciiTheme="minorHAnsi" w:hAnsiTheme="minorHAnsi" w:cstheme="minorBidi"/>
                <w:b/>
                <w:kern w:val="2"/>
                <w:sz w:val="24"/>
                <w:szCs w:val="24"/>
              </w:rPr>
            </w:pPr>
            <w:r>
              <w:rPr>
                <w:rFonts w:eastAsia="仿宋_GB2312" w:asciiTheme="minorHAnsi" w:hAnsiTheme="minorHAnsi" w:cstheme="minorBidi"/>
                <w:b/>
                <w:kern w:val="2"/>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Merge w:val="restart"/>
            <w:vAlign w:val="center"/>
          </w:tcPr>
          <w:p>
            <w:pPr>
              <w:adjustRightInd w:val="0"/>
              <w:snapToGrid w:val="0"/>
              <w:jc w:val="center"/>
              <w:rPr>
                <w:rFonts w:eastAsia="仿宋_GB2312" w:asciiTheme="minorHAnsi" w:hAnsiTheme="minorHAnsi" w:cstheme="minorBidi"/>
                <w:kern w:val="2"/>
                <w:sz w:val="24"/>
                <w:szCs w:val="24"/>
              </w:rPr>
            </w:pPr>
            <w:r>
              <w:rPr>
                <w:rFonts w:eastAsia="仿宋_GB2312" w:asciiTheme="minorHAnsi" w:hAnsiTheme="minorHAnsi" w:cstheme="minorBidi"/>
                <w:kern w:val="2"/>
                <w:sz w:val="24"/>
                <w:szCs w:val="24"/>
              </w:rPr>
              <w:t>一般性指标</w:t>
            </w:r>
          </w:p>
        </w:tc>
        <w:tc>
          <w:tcPr>
            <w:tcW w:w="1417" w:type="dxa"/>
            <w:vAlign w:val="center"/>
          </w:tcPr>
          <w:p>
            <w:pPr>
              <w:adjustRightInd w:val="0"/>
              <w:snapToGrid w:val="0"/>
              <w:jc w:val="center"/>
              <w:rPr>
                <w:rFonts w:eastAsia="仿宋_GB2312" w:asciiTheme="minorHAnsi" w:hAnsiTheme="minorHAnsi" w:cstheme="minorBidi"/>
                <w:kern w:val="2"/>
                <w:sz w:val="24"/>
                <w:szCs w:val="24"/>
              </w:rPr>
            </w:pPr>
            <w:r>
              <w:rPr>
                <w:rFonts w:eastAsia="仿宋_GB2312" w:asciiTheme="minorHAnsi" w:hAnsiTheme="minorHAnsi" w:cstheme="minorBidi"/>
                <w:kern w:val="2"/>
                <w:sz w:val="24"/>
                <w:szCs w:val="24"/>
              </w:rPr>
              <w:t>国家级项目</w:t>
            </w:r>
          </w:p>
        </w:tc>
        <w:tc>
          <w:tcPr>
            <w:tcW w:w="3858" w:type="dxa"/>
            <w:gridSpan w:val="2"/>
            <w:vAlign w:val="center"/>
          </w:tcPr>
          <w:p>
            <w:pPr>
              <w:adjustRightInd w:val="0"/>
              <w:snapToGrid w:val="0"/>
              <w:jc w:val="center"/>
              <w:rPr>
                <w:rFonts w:eastAsia="仿宋_GB2312" w:asciiTheme="minorHAnsi" w:hAnsiTheme="minorHAnsi" w:cstheme="minorBidi"/>
                <w:kern w:val="2"/>
                <w:sz w:val="24"/>
                <w:szCs w:val="24"/>
              </w:rPr>
            </w:pPr>
            <w:r>
              <w:rPr>
                <w:rFonts w:eastAsia="仿宋_GB2312" w:asciiTheme="minorHAnsi" w:hAnsiTheme="minorHAnsi" w:cstheme="minorBidi"/>
                <w:kern w:val="2"/>
                <w:sz w:val="24"/>
                <w:szCs w:val="24"/>
              </w:rPr>
              <w:t>1项</w:t>
            </w:r>
            <w:r>
              <w:rPr>
                <w:rFonts w:hint="eastAsia" w:eastAsia="仿宋_GB2312" w:asciiTheme="minorHAnsi" w:hAnsiTheme="minorHAnsi" w:cstheme="minorBidi"/>
                <w:kern w:val="2"/>
                <w:sz w:val="24"/>
                <w:szCs w:val="24"/>
              </w:rPr>
              <w:t>/当量</w:t>
            </w:r>
          </w:p>
        </w:tc>
        <w:tc>
          <w:tcPr>
            <w:tcW w:w="2383" w:type="dxa"/>
            <w:vAlign w:val="center"/>
          </w:tcPr>
          <w:p>
            <w:pPr>
              <w:adjustRightInd w:val="0"/>
              <w:snapToGrid w:val="0"/>
              <w:rPr>
                <w:rFonts w:eastAsia="仿宋_GB2312" w:asciiTheme="minorHAnsi" w:hAnsiTheme="minorHAnsi" w:cstheme="minorBidi"/>
                <w:kern w:val="2"/>
                <w:sz w:val="24"/>
                <w:szCs w:val="24"/>
              </w:rPr>
            </w:pPr>
            <w:r>
              <w:rPr>
                <w:rFonts w:hint="eastAsia" w:eastAsia="仿宋_GB2312" w:asciiTheme="minorHAnsi" w:hAnsiTheme="minorHAnsi" w:cstheme="minorBidi"/>
                <w:kern w:val="2"/>
                <w:sz w:val="24"/>
                <w:szCs w:val="24"/>
              </w:rPr>
              <w:t>聘期内新增，当量仅累计教师（含博士后）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jc w:val="center"/>
        </w:trPr>
        <w:tc>
          <w:tcPr>
            <w:tcW w:w="988" w:type="dxa"/>
            <w:vMerge w:val="continue"/>
            <w:vAlign w:val="center"/>
          </w:tcPr>
          <w:p>
            <w:pPr>
              <w:adjustRightInd w:val="0"/>
              <w:snapToGrid w:val="0"/>
              <w:jc w:val="center"/>
              <w:rPr>
                <w:rFonts w:eastAsia="仿宋_GB2312" w:asciiTheme="minorHAnsi" w:hAnsiTheme="minorHAnsi" w:cstheme="minorBidi"/>
                <w:kern w:val="2"/>
                <w:sz w:val="24"/>
                <w:szCs w:val="24"/>
              </w:rPr>
            </w:pPr>
          </w:p>
        </w:tc>
        <w:tc>
          <w:tcPr>
            <w:tcW w:w="1417" w:type="dxa"/>
            <w:vAlign w:val="center"/>
          </w:tcPr>
          <w:p>
            <w:pPr>
              <w:adjustRightInd w:val="0"/>
              <w:snapToGrid w:val="0"/>
              <w:jc w:val="center"/>
              <w:rPr>
                <w:rFonts w:hint="eastAsia" w:eastAsia="仿宋_GB2312" w:asciiTheme="minorHAnsi" w:hAnsiTheme="minorHAnsi" w:cstheme="minorBidi"/>
                <w:kern w:val="2"/>
                <w:sz w:val="24"/>
                <w:szCs w:val="24"/>
              </w:rPr>
            </w:pPr>
            <w:r>
              <w:rPr>
                <w:rFonts w:hint="eastAsia" w:eastAsia="仿宋_GB2312" w:asciiTheme="minorHAnsi" w:hAnsiTheme="minorHAnsi" w:cstheme="minorBidi"/>
                <w:kern w:val="2"/>
                <w:sz w:val="24"/>
                <w:szCs w:val="24"/>
              </w:rPr>
              <w:t>SCI收录</w:t>
            </w:r>
          </w:p>
          <w:p>
            <w:pPr>
              <w:adjustRightInd w:val="0"/>
              <w:snapToGrid w:val="0"/>
              <w:jc w:val="center"/>
              <w:rPr>
                <w:rFonts w:eastAsia="仿宋_GB2312" w:asciiTheme="minorHAnsi" w:hAnsiTheme="minorHAnsi" w:cstheme="minorBidi"/>
                <w:kern w:val="2"/>
                <w:sz w:val="24"/>
                <w:szCs w:val="24"/>
              </w:rPr>
            </w:pPr>
            <w:r>
              <w:rPr>
                <w:rFonts w:eastAsia="仿宋_GB2312" w:asciiTheme="minorHAnsi" w:hAnsiTheme="minorHAnsi" w:cstheme="minorBidi"/>
                <w:kern w:val="2"/>
                <w:sz w:val="24"/>
                <w:szCs w:val="24"/>
              </w:rPr>
              <w:t>论文</w:t>
            </w:r>
          </w:p>
        </w:tc>
        <w:tc>
          <w:tcPr>
            <w:tcW w:w="1590" w:type="dxa"/>
            <w:vAlign w:val="center"/>
          </w:tcPr>
          <w:p>
            <w:pPr>
              <w:adjustRightInd w:val="0"/>
              <w:snapToGrid w:val="0"/>
              <w:jc w:val="center"/>
              <w:rPr>
                <w:rFonts w:eastAsia="仿宋_GB2312" w:asciiTheme="minorHAnsi" w:hAnsiTheme="minorHAnsi" w:cstheme="minorBidi"/>
                <w:kern w:val="2"/>
                <w:sz w:val="24"/>
                <w:szCs w:val="24"/>
              </w:rPr>
            </w:pPr>
            <w:r>
              <w:rPr>
                <w:rFonts w:eastAsia="仿宋_GB2312" w:asciiTheme="minorHAnsi" w:hAnsiTheme="minorHAnsi" w:cstheme="minorBidi"/>
                <w:kern w:val="2"/>
                <w:sz w:val="24"/>
                <w:szCs w:val="24"/>
              </w:rPr>
              <w:t>2</w:t>
            </w:r>
            <w:r>
              <w:rPr>
                <w:rFonts w:hint="eastAsia" w:eastAsia="仿宋_GB2312" w:asciiTheme="minorHAnsi" w:hAnsiTheme="minorHAnsi" w:cstheme="minorBidi"/>
                <w:kern w:val="2"/>
                <w:sz w:val="24"/>
                <w:szCs w:val="24"/>
              </w:rPr>
              <w:t>篇（其中1篇影响因子不低于3.0）</w:t>
            </w:r>
            <w:r>
              <w:rPr>
                <w:rFonts w:eastAsia="仿宋_GB2312" w:asciiTheme="minorHAnsi" w:hAnsiTheme="minorHAnsi" w:cstheme="minorBidi"/>
                <w:kern w:val="2"/>
                <w:sz w:val="24"/>
                <w:szCs w:val="24"/>
              </w:rPr>
              <w:t>/</w:t>
            </w:r>
            <w:r>
              <w:rPr>
                <w:rFonts w:hint="eastAsia" w:eastAsia="仿宋_GB2312" w:asciiTheme="minorHAnsi" w:hAnsiTheme="minorHAnsi" w:cstheme="minorBidi"/>
                <w:kern w:val="2"/>
                <w:sz w:val="24"/>
                <w:szCs w:val="24"/>
              </w:rPr>
              <w:t>当量/</w:t>
            </w:r>
            <w:r>
              <w:rPr>
                <w:rFonts w:eastAsia="仿宋_GB2312" w:asciiTheme="minorHAnsi" w:hAnsiTheme="minorHAnsi" w:cstheme="minorBidi"/>
                <w:kern w:val="2"/>
                <w:sz w:val="24"/>
                <w:szCs w:val="24"/>
              </w:rPr>
              <w:t>年</w:t>
            </w:r>
          </w:p>
        </w:tc>
        <w:tc>
          <w:tcPr>
            <w:tcW w:w="2268" w:type="dxa"/>
            <w:vAlign w:val="center"/>
          </w:tcPr>
          <w:p>
            <w:pPr>
              <w:adjustRightInd w:val="0"/>
              <w:snapToGrid w:val="0"/>
              <w:rPr>
                <w:rFonts w:eastAsia="仿宋_GB2312" w:asciiTheme="minorHAnsi" w:hAnsiTheme="minorHAnsi" w:cstheme="minorBidi"/>
                <w:kern w:val="2"/>
                <w:sz w:val="24"/>
                <w:szCs w:val="24"/>
              </w:rPr>
            </w:pPr>
            <w:r>
              <w:rPr>
                <w:rFonts w:eastAsia="仿宋_GB2312" w:asciiTheme="minorHAnsi" w:hAnsiTheme="minorHAnsi" w:cstheme="minorBidi"/>
                <w:kern w:val="2"/>
                <w:sz w:val="24"/>
                <w:szCs w:val="24"/>
              </w:rPr>
              <w:t>或影响因子大于5.0、一区论文0.5篇</w:t>
            </w:r>
            <w:r>
              <w:rPr>
                <w:rFonts w:hint="eastAsia" w:eastAsia="仿宋_GB2312" w:asciiTheme="minorHAnsi" w:hAnsiTheme="minorHAnsi" w:cstheme="minorBidi"/>
                <w:kern w:val="2"/>
                <w:sz w:val="24"/>
                <w:szCs w:val="24"/>
              </w:rPr>
              <w:t>/当量/年，或</w:t>
            </w:r>
            <w:r>
              <w:rPr>
                <w:rFonts w:eastAsia="仿宋_GB2312" w:asciiTheme="minorHAnsi" w:hAnsiTheme="minorHAnsi" w:cstheme="minorBidi"/>
                <w:kern w:val="2"/>
                <w:sz w:val="24"/>
                <w:szCs w:val="24"/>
              </w:rPr>
              <w:t>影响因子大于10.0的1篇</w:t>
            </w:r>
            <w:r>
              <w:rPr>
                <w:rFonts w:hint="eastAsia" w:eastAsia="仿宋_GB2312" w:asciiTheme="minorHAnsi" w:hAnsiTheme="minorHAnsi" w:cstheme="minorBidi"/>
                <w:kern w:val="2"/>
                <w:sz w:val="24"/>
                <w:szCs w:val="24"/>
              </w:rPr>
              <w:t>/当量/聘期</w:t>
            </w:r>
          </w:p>
        </w:tc>
        <w:tc>
          <w:tcPr>
            <w:tcW w:w="2383" w:type="dxa"/>
            <w:vAlign w:val="center"/>
          </w:tcPr>
          <w:p>
            <w:pPr>
              <w:adjustRightInd w:val="0"/>
              <w:snapToGrid w:val="0"/>
              <w:rPr>
                <w:rFonts w:eastAsia="仿宋_GB2312" w:asciiTheme="minorHAnsi" w:hAnsiTheme="minorHAnsi" w:cstheme="minorBidi"/>
                <w:kern w:val="2"/>
                <w:sz w:val="24"/>
                <w:szCs w:val="24"/>
              </w:rPr>
            </w:pPr>
            <w:r>
              <w:rPr>
                <w:rFonts w:hint="eastAsia" w:eastAsia="仿宋_GB2312" w:asciiTheme="minorHAnsi" w:hAnsiTheme="minorHAnsi" w:cstheme="minorBidi"/>
                <w:kern w:val="2"/>
                <w:sz w:val="24"/>
                <w:szCs w:val="24"/>
              </w:rPr>
              <w:t>当量含教师、博士后、博硕士生，</w:t>
            </w:r>
            <w:r>
              <w:rPr>
                <w:rFonts w:hint="eastAsia" w:ascii="仿宋_GB2312" w:eastAsia="仿宋_GB2312" w:hAnsiTheme="minorHAnsi" w:cstheme="minorBidi"/>
                <w:kern w:val="2"/>
                <w:sz w:val="24"/>
                <w:szCs w:val="24"/>
              </w:rPr>
              <w:t xml:space="preserve"> N</w:t>
            </w:r>
            <w:r>
              <w:rPr>
                <w:rFonts w:ascii="仿宋_GB2312" w:eastAsia="仿宋_GB2312" w:hAnsiTheme="minorHAnsi" w:cstheme="minorBidi"/>
                <w:kern w:val="2"/>
                <w:sz w:val="24"/>
                <w:szCs w:val="24"/>
              </w:rPr>
              <w:t>I论文</w:t>
            </w:r>
            <w:r>
              <w:rPr>
                <w:rFonts w:hint="eastAsia" w:ascii="仿宋_GB2312" w:eastAsia="仿宋_GB2312" w:hAnsiTheme="minorHAnsi" w:cstheme="minorBidi"/>
                <w:kern w:val="2"/>
                <w:sz w:val="24"/>
                <w:szCs w:val="24"/>
              </w:rPr>
              <w:t>、高被引论文、</w:t>
            </w:r>
            <w:r>
              <w:rPr>
                <w:rFonts w:ascii="仿宋_GB2312" w:eastAsia="仿宋_GB2312" w:hAnsiTheme="minorHAnsi" w:cstheme="minorBidi"/>
                <w:kern w:val="2"/>
                <w:sz w:val="24"/>
                <w:szCs w:val="24"/>
              </w:rPr>
              <w:t>热点论文等同一区论文</w:t>
            </w:r>
          </w:p>
        </w:tc>
      </w:tr>
    </w:tbl>
    <w:p>
      <w:pPr>
        <w:adjustRightInd w:val="0"/>
        <w:snapToGrid w:val="0"/>
        <w:rPr>
          <w:rFonts w:ascii="Times New Roman" w:hAnsi="Times New Roman" w:eastAsia="仿宋_GB2312" w:cs="Times New Roman"/>
          <w:szCs w:val="24"/>
        </w:rPr>
      </w:pPr>
      <w:r>
        <w:rPr>
          <w:rFonts w:hint="eastAsia" w:ascii="Times New Roman" w:hAnsi="Times New Roman" w:eastAsia="仿宋_GB2312" w:cs="Times New Roman"/>
          <w:szCs w:val="24"/>
        </w:rPr>
        <w:t>注：1.1名教师=1当量，1名博士后=1当量，1名博士生=0.8当量，1名学术型硕士生=0.25当量。</w:t>
      </w:r>
    </w:p>
    <w:p>
      <w:pPr>
        <w:adjustRightInd w:val="0"/>
        <w:snapToGrid w:val="0"/>
        <w:ind w:firstLine="420" w:firstLineChars="200"/>
        <w:rPr>
          <w:rFonts w:ascii="Times New Roman" w:hAnsi="Times New Roman" w:eastAsia="仿宋_GB2312" w:cs="Times New Roman"/>
          <w:szCs w:val="24"/>
        </w:rPr>
      </w:pPr>
      <w:r>
        <w:rPr>
          <w:rFonts w:hint="eastAsia" w:ascii="Times New Roman" w:hAnsi="Times New Roman" w:eastAsia="仿宋_GB2312" w:cs="Times New Roman"/>
          <w:szCs w:val="24"/>
        </w:rPr>
        <w:t>2.一般性指标的新增国家级项目、发表论文及影响因子总数全部完成方为合格。发表1篇高水平论文</w:t>
      </w:r>
      <w:r>
        <w:footnoteReference w:id="5"/>
      </w:r>
      <w:r>
        <w:rPr>
          <w:rFonts w:hint="eastAsia" w:ascii="Times New Roman" w:hAnsi="Times New Roman" w:eastAsia="仿宋_GB2312" w:cs="Times New Roman"/>
          <w:szCs w:val="24"/>
        </w:rPr>
        <w:t>即认定年度任务完成，发表1篇顶级论文即认定聘期任务完成。</w:t>
      </w:r>
    </w:p>
    <w:p>
      <w:pPr>
        <w:adjustRightInd w:val="0"/>
        <w:snapToGrid w:val="0"/>
        <w:spacing w:line="360" w:lineRule="auto"/>
        <w:ind w:firstLine="420" w:firstLineChars="200"/>
        <w:rPr>
          <w:rFonts w:ascii="Times New Roman" w:hAnsi="Times New Roman" w:eastAsia="仿宋_GB2312" w:cs="Times New Roman"/>
          <w:sz w:val="24"/>
          <w:szCs w:val="24"/>
        </w:rPr>
      </w:pPr>
      <w:r>
        <w:rPr>
          <w:rFonts w:hint="eastAsia" w:ascii="Times New Roman" w:hAnsi="Times New Roman" w:eastAsia="仿宋_GB2312" w:cs="Times New Roman"/>
          <w:szCs w:val="24"/>
        </w:rPr>
        <w:t>3.所有成果只认定第一完成单位为本校的，同一成果仅累计一次。</w:t>
      </w:r>
    </w:p>
    <w:sectPr>
      <w:footerReference r:id="rId4" w:type="default"/>
      <w:pgSz w:w="11906" w:h="16838"/>
      <w:pgMar w:top="1985" w:right="1797" w:bottom="170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Arial Unicode MS"/>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09111618"/>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5"/>
      </w:pPr>
      <w:r>
        <w:rPr>
          <w:rStyle w:val="9"/>
        </w:rPr>
        <w:footnoteRef/>
      </w:r>
      <w:r>
        <w:t xml:space="preserve"> </w:t>
      </w:r>
      <w:r>
        <w:rPr>
          <w:rFonts w:hint="eastAsia" w:asciiTheme="minorEastAsia" w:hAnsiTheme="minorEastAsia"/>
        </w:rPr>
        <w:t>国家科技三大奖二等奖以上，教育部高校科研成果奖（科学技术）一等奖或省部级科研获奖一等奖</w:t>
      </w:r>
      <w:r>
        <w:rPr>
          <w:rFonts w:asciiTheme="minorEastAsia" w:hAnsiTheme="minorEastAsia"/>
        </w:rPr>
        <w:t>。</w:t>
      </w:r>
    </w:p>
  </w:footnote>
  <w:footnote w:id="1">
    <w:p>
      <w:pPr>
        <w:pStyle w:val="5"/>
      </w:pPr>
      <w:r>
        <w:rPr>
          <w:rStyle w:val="9"/>
        </w:rPr>
        <w:footnoteRef/>
      </w:r>
      <w:r>
        <w:rPr>
          <w:rFonts w:hint="eastAsia"/>
        </w:rPr>
        <w:t xml:space="preserve"> 在Nature、Science、Cell发表学术论文。 </w:t>
      </w:r>
    </w:p>
  </w:footnote>
  <w:footnote w:id="2">
    <w:p>
      <w:pPr>
        <w:pStyle w:val="5"/>
        <w:rPr>
          <w:rFonts w:asciiTheme="minorEastAsia" w:hAnsiTheme="minorEastAsia"/>
        </w:rPr>
      </w:pPr>
      <w:r>
        <w:rPr>
          <w:rStyle w:val="9"/>
        </w:rPr>
        <w:footnoteRef/>
      </w:r>
      <w:r>
        <w:rPr>
          <w:rFonts w:asciiTheme="minorEastAsia" w:hAnsiTheme="minorEastAsia"/>
        </w:rPr>
        <w:t xml:space="preserve"> 教育部“创新团队发展计划”</w:t>
      </w:r>
      <w:r>
        <w:rPr>
          <w:rFonts w:hint="eastAsia"/>
        </w:rPr>
        <w:t xml:space="preserve"> </w:t>
      </w:r>
      <w:r>
        <w:rPr>
          <w:rFonts w:hint="eastAsia" w:asciiTheme="minorEastAsia" w:hAnsiTheme="minorEastAsia"/>
        </w:rPr>
        <w:t>、科技部创新团队</w:t>
      </w:r>
      <w:r>
        <w:rPr>
          <w:rFonts w:asciiTheme="minorEastAsia" w:hAnsiTheme="minorEastAsia"/>
        </w:rPr>
        <w:t>或国家自然科学基金委“优秀创新群体”。</w:t>
      </w:r>
    </w:p>
  </w:footnote>
  <w:footnote w:id="3">
    <w:p>
      <w:pPr>
        <w:pStyle w:val="5"/>
      </w:pPr>
      <w:r>
        <w:rPr>
          <w:rStyle w:val="9"/>
        </w:rPr>
        <w:footnoteRef/>
      </w:r>
      <w:r>
        <w:rPr>
          <w:rFonts w:hint="eastAsia"/>
        </w:rPr>
        <w:t xml:space="preserve"> 国家级教学成果奖、研究生教育成果奖二等奖以上，省级教学成果奖一等奖以上。</w:t>
      </w:r>
    </w:p>
  </w:footnote>
  <w:footnote w:id="4">
    <w:p>
      <w:pPr>
        <w:pStyle w:val="5"/>
      </w:pPr>
      <w:r>
        <w:rPr>
          <w:rStyle w:val="9"/>
        </w:rPr>
        <w:footnoteRef/>
      </w:r>
      <w:r>
        <w:t xml:space="preserve"> </w:t>
      </w:r>
      <w:r>
        <w:rPr>
          <w:rFonts w:hint="eastAsia"/>
        </w:rPr>
        <w:t>省级教学团队及以上。</w:t>
      </w:r>
    </w:p>
  </w:footnote>
  <w:footnote w:id="5">
    <w:p>
      <w:pPr>
        <w:pStyle w:val="5"/>
      </w:pPr>
      <w:r>
        <w:rPr>
          <w:rStyle w:val="9"/>
        </w:rPr>
        <w:footnoteRef/>
      </w:r>
      <w:r>
        <w:rPr>
          <w:rFonts w:hint="eastAsia"/>
        </w:rPr>
        <w:t xml:space="preserve"> 在Nature、Science、Cell子刊发表学术论文。</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DC0"/>
    <w:rsid w:val="000148AE"/>
    <w:rsid w:val="00020D7D"/>
    <w:rsid w:val="00026B80"/>
    <w:rsid w:val="00034491"/>
    <w:rsid w:val="00055C75"/>
    <w:rsid w:val="00064140"/>
    <w:rsid w:val="000C1FC4"/>
    <w:rsid w:val="000D3B76"/>
    <w:rsid w:val="000D6AD7"/>
    <w:rsid w:val="00101DD6"/>
    <w:rsid w:val="00104761"/>
    <w:rsid w:val="001B3070"/>
    <w:rsid w:val="001C36BE"/>
    <w:rsid w:val="001C6BB2"/>
    <w:rsid w:val="001D35AE"/>
    <w:rsid w:val="002151F4"/>
    <w:rsid w:val="00226F04"/>
    <w:rsid w:val="00233D62"/>
    <w:rsid w:val="00243D48"/>
    <w:rsid w:val="002C1B38"/>
    <w:rsid w:val="002D5F84"/>
    <w:rsid w:val="002D681A"/>
    <w:rsid w:val="002F10B8"/>
    <w:rsid w:val="002F2FE8"/>
    <w:rsid w:val="00316189"/>
    <w:rsid w:val="00325E86"/>
    <w:rsid w:val="00332521"/>
    <w:rsid w:val="00337F1D"/>
    <w:rsid w:val="00351E16"/>
    <w:rsid w:val="00364A80"/>
    <w:rsid w:val="00365A91"/>
    <w:rsid w:val="003A3E01"/>
    <w:rsid w:val="003B27B0"/>
    <w:rsid w:val="003B68E3"/>
    <w:rsid w:val="003F35B3"/>
    <w:rsid w:val="00401291"/>
    <w:rsid w:val="00414CA0"/>
    <w:rsid w:val="00430A32"/>
    <w:rsid w:val="00430FE3"/>
    <w:rsid w:val="00432B3B"/>
    <w:rsid w:val="00434F74"/>
    <w:rsid w:val="00463958"/>
    <w:rsid w:val="0049387D"/>
    <w:rsid w:val="004B51B0"/>
    <w:rsid w:val="004C113C"/>
    <w:rsid w:val="004D291A"/>
    <w:rsid w:val="004D39C3"/>
    <w:rsid w:val="004F519C"/>
    <w:rsid w:val="00511461"/>
    <w:rsid w:val="00513F1F"/>
    <w:rsid w:val="00535C8D"/>
    <w:rsid w:val="0056065F"/>
    <w:rsid w:val="0056551F"/>
    <w:rsid w:val="00565760"/>
    <w:rsid w:val="005819D3"/>
    <w:rsid w:val="00583452"/>
    <w:rsid w:val="005A2C4F"/>
    <w:rsid w:val="005B4016"/>
    <w:rsid w:val="005C01AC"/>
    <w:rsid w:val="005C193D"/>
    <w:rsid w:val="005C7205"/>
    <w:rsid w:val="005D6A75"/>
    <w:rsid w:val="005E755B"/>
    <w:rsid w:val="005F0AFE"/>
    <w:rsid w:val="006076D9"/>
    <w:rsid w:val="00616E56"/>
    <w:rsid w:val="00694A0E"/>
    <w:rsid w:val="006E002D"/>
    <w:rsid w:val="006E34D0"/>
    <w:rsid w:val="007015DF"/>
    <w:rsid w:val="00727768"/>
    <w:rsid w:val="00736BFF"/>
    <w:rsid w:val="00740FCA"/>
    <w:rsid w:val="00742DE7"/>
    <w:rsid w:val="00752275"/>
    <w:rsid w:val="00762D24"/>
    <w:rsid w:val="00764898"/>
    <w:rsid w:val="00773185"/>
    <w:rsid w:val="007A097A"/>
    <w:rsid w:val="007B4171"/>
    <w:rsid w:val="007C7875"/>
    <w:rsid w:val="007D3571"/>
    <w:rsid w:val="00814DBB"/>
    <w:rsid w:val="00816918"/>
    <w:rsid w:val="00817C95"/>
    <w:rsid w:val="008464B8"/>
    <w:rsid w:val="00852887"/>
    <w:rsid w:val="008B45F4"/>
    <w:rsid w:val="008C0AFC"/>
    <w:rsid w:val="008C6DE1"/>
    <w:rsid w:val="008D015D"/>
    <w:rsid w:val="008D4584"/>
    <w:rsid w:val="008D4F30"/>
    <w:rsid w:val="008E47D4"/>
    <w:rsid w:val="00903E46"/>
    <w:rsid w:val="009406BC"/>
    <w:rsid w:val="00954E4C"/>
    <w:rsid w:val="00961B01"/>
    <w:rsid w:val="00961D4B"/>
    <w:rsid w:val="00973613"/>
    <w:rsid w:val="00994DC0"/>
    <w:rsid w:val="009A16B2"/>
    <w:rsid w:val="009A1FAB"/>
    <w:rsid w:val="009A35A4"/>
    <w:rsid w:val="009B2A3C"/>
    <w:rsid w:val="009B79CF"/>
    <w:rsid w:val="009F1FA1"/>
    <w:rsid w:val="00A219E8"/>
    <w:rsid w:val="00A27B4F"/>
    <w:rsid w:val="00A367CB"/>
    <w:rsid w:val="00A4710B"/>
    <w:rsid w:val="00A60AD4"/>
    <w:rsid w:val="00A85982"/>
    <w:rsid w:val="00A85BE9"/>
    <w:rsid w:val="00A8665D"/>
    <w:rsid w:val="00AA2778"/>
    <w:rsid w:val="00AB009F"/>
    <w:rsid w:val="00AB32E7"/>
    <w:rsid w:val="00AF23A0"/>
    <w:rsid w:val="00AF6EF0"/>
    <w:rsid w:val="00B2034B"/>
    <w:rsid w:val="00B20A30"/>
    <w:rsid w:val="00B35640"/>
    <w:rsid w:val="00B40A10"/>
    <w:rsid w:val="00B62585"/>
    <w:rsid w:val="00B746A1"/>
    <w:rsid w:val="00BA0385"/>
    <w:rsid w:val="00BA0478"/>
    <w:rsid w:val="00BB0146"/>
    <w:rsid w:val="00BB2EE4"/>
    <w:rsid w:val="00BC11D3"/>
    <w:rsid w:val="00BC773D"/>
    <w:rsid w:val="00BC7A09"/>
    <w:rsid w:val="00BE25B5"/>
    <w:rsid w:val="00BE5DEA"/>
    <w:rsid w:val="00C34618"/>
    <w:rsid w:val="00C46CBA"/>
    <w:rsid w:val="00C51134"/>
    <w:rsid w:val="00C5661B"/>
    <w:rsid w:val="00C60FB4"/>
    <w:rsid w:val="00C627F9"/>
    <w:rsid w:val="00C71166"/>
    <w:rsid w:val="00C77B84"/>
    <w:rsid w:val="00C80460"/>
    <w:rsid w:val="00CA6EC8"/>
    <w:rsid w:val="00CD49C6"/>
    <w:rsid w:val="00CE6462"/>
    <w:rsid w:val="00CF64C4"/>
    <w:rsid w:val="00D05C89"/>
    <w:rsid w:val="00D15AA1"/>
    <w:rsid w:val="00D21A84"/>
    <w:rsid w:val="00DA06BB"/>
    <w:rsid w:val="00DA6160"/>
    <w:rsid w:val="00DB10A3"/>
    <w:rsid w:val="00DB4B7C"/>
    <w:rsid w:val="00DE2FFE"/>
    <w:rsid w:val="00DF206F"/>
    <w:rsid w:val="00DF55C5"/>
    <w:rsid w:val="00E070D3"/>
    <w:rsid w:val="00E268C8"/>
    <w:rsid w:val="00E538F4"/>
    <w:rsid w:val="00E67279"/>
    <w:rsid w:val="00EC48B6"/>
    <w:rsid w:val="00EC70E0"/>
    <w:rsid w:val="00ED56A3"/>
    <w:rsid w:val="00EE37DC"/>
    <w:rsid w:val="00F16BFC"/>
    <w:rsid w:val="00F22E5F"/>
    <w:rsid w:val="00F36F10"/>
    <w:rsid w:val="00F617F7"/>
    <w:rsid w:val="00F63FCB"/>
    <w:rsid w:val="00FB5763"/>
    <w:rsid w:val="00FC31F6"/>
    <w:rsid w:val="00FE66D5"/>
    <w:rsid w:val="0AD552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0" w:semiHidden="0"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3"/>
    <w:unhideWhenUsed/>
    <w:uiPriority w:val="99"/>
    <w:pPr>
      <w:tabs>
        <w:tab w:val="center" w:pos="4153"/>
        <w:tab w:val="right" w:pos="8306"/>
      </w:tabs>
      <w:snapToGrid w:val="0"/>
      <w:jc w:val="left"/>
    </w:pPr>
    <w:rPr>
      <w:sz w:val="18"/>
      <w:szCs w:val="18"/>
    </w:rPr>
  </w:style>
  <w:style w:type="paragraph" w:styleId="4">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6"/>
    <w:unhideWhenUsed/>
    <w:uiPriority w:val="0"/>
    <w:pPr>
      <w:snapToGrid w:val="0"/>
      <w:jc w:val="left"/>
    </w:pPr>
    <w:rPr>
      <w:sz w:val="18"/>
      <w:szCs w:val="18"/>
    </w:rPr>
  </w:style>
  <w:style w:type="table" w:styleId="7">
    <w:name w:val="Table Grid"/>
    <w:basedOn w:val="6"/>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otnote reference"/>
    <w:basedOn w:val="8"/>
    <w:unhideWhenUsed/>
    <w:uiPriority w:val="0"/>
    <w:rPr>
      <w:vertAlign w:val="superscript"/>
    </w:rPr>
  </w:style>
  <w:style w:type="paragraph" w:styleId="10">
    <w:name w:val="List Paragraph"/>
    <w:basedOn w:val="1"/>
    <w:qFormat/>
    <w:uiPriority w:val="34"/>
    <w:pPr>
      <w:ind w:firstLine="420" w:firstLineChars="200"/>
    </w:pPr>
  </w:style>
  <w:style w:type="character" w:customStyle="1" w:styleId="11">
    <w:name w:val="批注框文本 字符"/>
    <w:basedOn w:val="8"/>
    <w:link w:val="2"/>
    <w:semiHidden/>
    <w:uiPriority w:val="99"/>
    <w:rPr>
      <w:sz w:val="18"/>
      <w:szCs w:val="18"/>
    </w:rPr>
  </w:style>
  <w:style w:type="character" w:customStyle="1" w:styleId="12">
    <w:name w:val="页眉 字符"/>
    <w:basedOn w:val="8"/>
    <w:link w:val="4"/>
    <w:uiPriority w:val="99"/>
    <w:rPr>
      <w:sz w:val="18"/>
      <w:szCs w:val="18"/>
    </w:rPr>
  </w:style>
  <w:style w:type="character" w:customStyle="1" w:styleId="13">
    <w:name w:val="页脚 字符"/>
    <w:basedOn w:val="8"/>
    <w:link w:val="3"/>
    <w:uiPriority w:val="99"/>
    <w:rPr>
      <w:sz w:val="18"/>
      <w:szCs w:val="18"/>
    </w:rPr>
  </w:style>
  <w:style w:type="paragraph" w:customStyle="1" w:styleId="14">
    <w:name w:val="列出段落1"/>
    <w:basedOn w:val="1"/>
    <w:qFormat/>
    <w:uiPriority w:val="99"/>
    <w:pPr>
      <w:ind w:firstLine="420" w:firstLineChars="200"/>
    </w:pPr>
    <w:rPr>
      <w:szCs w:val="24"/>
    </w:rPr>
  </w:style>
  <w:style w:type="paragraph" w:customStyle="1" w:styleId="15">
    <w:name w:val="列出段落2"/>
    <w:basedOn w:val="1"/>
    <w:qFormat/>
    <w:uiPriority w:val="99"/>
    <w:pPr>
      <w:ind w:firstLine="420" w:firstLineChars="200"/>
    </w:pPr>
    <w:rPr>
      <w:szCs w:val="24"/>
    </w:rPr>
  </w:style>
  <w:style w:type="character" w:customStyle="1" w:styleId="16">
    <w:name w:val="脚注文本 字符"/>
    <w:basedOn w:val="8"/>
    <w:link w:val="5"/>
    <w:uiPriority w:val="0"/>
    <w:rPr>
      <w:sz w:val="18"/>
      <w:szCs w:val="18"/>
    </w:rPr>
  </w:style>
  <w:style w:type="paragraph" w:customStyle="1" w:styleId="17">
    <w:name w:val="msolistparagraph"/>
    <w:basedOn w:val="1"/>
    <w:uiPriority w:val="0"/>
    <w:pPr>
      <w:ind w:firstLine="420" w:firstLineChars="200"/>
    </w:pPr>
    <w:rPr>
      <w:rFonts w:ascii="Calibri" w:hAnsi="Calibri" w:eastAsia="宋体"/>
    </w:rPr>
  </w:style>
  <w:style w:type="paragraph" w:customStyle="1" w:styleId="18">
    <w:name w:val="Revision"/>
    <w:hidden/>
    <w:semiHidden/>
    <w:uiPriority w:val="99"/>
    <w:rPr>
      <w:rFonts w:asciiTheme="minorHAnsi" w:hAnsiTheme="minorHAnsi" w:eastAsiaTheme="minorEastAsia" w:cstheme="minorBidi"/>
      <w:kern w:val="2"/>
      <w:sz w:val="21"/>
      <w:szCs w:val="22"/>
      <w:lang w:val="en-US" w:eastAsia="zh-CN" w:bidi="ar-SA"/>
    </w:rPr>
  </w:style>
  <w:style w:type="table" w:customStyle="1" w:styleId="19">
    <w:name w:val="网格型1"/>
    <w:basedOn w:val="6"/>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0956D1-C9D1-439A-954F-4E32A5B2CCEA}">
  <ds:schemaRefs/>
</ds:datastoreItem>
</file>

<file path=docProps/app.xml><?xml version="1.0" encoding="utf-8"?>
<Properties xmlns="http://schemas.openxmlformats.org/officeDocument/2006/extended-properties" xmlns:vt="http://schemas.openxmlformats.org/officeDocument/2006/docPropsVTypes">
  <Template>Normal</Template>
  <Pages>12</Pages>
  <Words>940</Words>
  <Characters>5364</Characters>
  <Lines>44</Lines>
  <Paragraphs>12</Paragraphs>
  <TotalTime>382</TotalTime>
  <ScaleCrop>false</ScaleCrop>
  <LinksUpToDate>false</LinksUpToDate>
  <CharactersWithSpaces>6292</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2019-04-04T07:27:00Z</dcterms:created>
  <dc:creator>未定义</dc:creator>
  <cp:lastModifiedBy>金童老皮</cp:lastModifiedBy>
  <cp:lastPrinted>2019-04-26T02:37:00Z</cp:lastPrinted>
  <dcterms:modified xsi:type="dcterms:W3CDTF">2019-11-12T00:36:53Z</dcterms:modified>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